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44B" w:rsidRDefault="00A05E7E">
      <w:pPr>
        <w:widowControl/>
        <w:suppressAutoHyphens w:val="0"/>
        <w:spacing w:after="0" w:line="288" w:lineRule="auto"/>
        <w:jc w:val="center"/>
        <w:textAlignment w:val="auto"/>
      </w:pPr>
      <w:bookmarkStart w:id="0" w:name="_GoBack"/>
      <w:bookmarkEnd w:id="0"/>
      <w:r>
        <w:rPr>
          <w:rFonts w:ascii="Calibri" w:eastAsia="Times New Roman" w:hAnsi="Calibri" w:cs="Times New Roman"/>
          <w:b/>
          <w:kern w:val="0"/>
          <w:sz w:val="26"/>
          <w:szCs w:val="26"/>
          <w:lang w:eastAsia="hr-HR" w:bidi="ar-SA"/>
        </w:rPr>
        <w:t>FOLAN d.o.o. u stečaju</w:t>
      </w:r>
    </w:p>
    <w:p w:rsidR="0080344B" w:rsidRDefault="00A05E7E">
      <w:pPr>
        <w:widowControl/>
        <w:suppressAutoHyphens w:val="0"/>
        <w:spacing w:after="0" w:line="288" w:lineRule="auto"/>
        <w:jc w:val="center"/>
        <w:textAlignment w:val="auto"/>
        <w:rPr>
          <w:rFonts w:ascii="Calibri" w:eastAsia="Times New Roman" w:hAnsi="Calibri" w:cs="Times New Roman"/>
          <w:b/>
          <w:kern w:val="0"/>
          <w:lang w:eastAsia="hr-HR" w:bidi="ar-SA"/>
        </w:rPr>
      </w:pPr>
      <w:r>
        <w:rPr>
          <w:rFonts w:ascii="Calibri" w:eastAsia="Times New Roman" w:hAnsi="Calibri" w:cs="Times New Roman"/>
          <w:b/>
          <w:kern w:val="0"/>
          <w:lang w:eastAsia="hr-HR" w:bidi="ar-SA"/>
        </w:rPr>
        <w:t xml:space="preserve">Pula, Prilaz </w:t>
      </w:r>
      <w:proofErr w:type="spellStart"/>
      <w:r>
        <w:rPr>
          <w:rFonts w:ascii="Calibri" w:eastAsia="Times New Roman" w:hAnsi="Calibri" w:cs="Times New Roman"/>
          <w:b/>
          <w:kern w:val="0"/>
          <w:lang w:eastAsia="hr-HR" w:bidi="ar-SA"/>
        </w:rPr>
        <w:t>Puljskih</w:t>
      </w:r>
      <w:proofErr w:type="spellEnd"/>
      <w:r>
        <w:rPr>
          <w:rFonts w:ascii="Calibri" w:eastAsia="Times New Roman" w:hAnsi="Calibri" w:cs="Times New Roman"/>
          <w:b/>
          <w:kern w:val="0"/>
          <w:lang w:eastAsia="hr-HR" w:bidi="ar-SA"/>
        </w:rPr>
        <w:t xml:space="preserve"> Španjolskih boraca 4</w:t>
      </w:r>
    </w:p>
    <w:p w:rsidR="0080344B" w:rsidRDefault="00A05E7E">
      <w:pPr>
        <w:widowControl/>
        <w:suppressAutoHyphens w:val="0"/>
        <w:spacing w:after="0" w:line="288" w:lineRule="auto"/>
        <w:jc w:val="center"/>
        <w:textAlignment w:val="auto"/>
      </w:pPr>
      <w:r>
        <w:rPr>
          <w:rFonts w:ascii="Calibri" w:eastAsia="Times New Roman" w:hAnsi="Calibri" w:cs="Times New Roman"/>
          <w:b/>
          <w:kern w:val="0"/>
          <w:lang w:eastAsia="hr-HR" w:bidi="ar-SA"/>
        </w:rPr>
        <w:t xml:space="preserve"> OIB: 86619734573, MBS: 040034411, St- 665/16</w:t>
      </w:r>
    </w:p>
    <w:p w:rsidR="0080344B" w:rsidRDefault="0080344B">
      <w:pPr>
        <w:pStyle w:val="Standard"/>
        <w:rPr>
          <w:rFonts w:ascii="Calibri" w:hAnsi="Calibri" w:cs="Tahoma"/>
        </w:rPr>
      </w:pPr>
    </w:p>
    <w:p w:rsidR="0080344B" w:rsidRDefault="0080344B">
      <w:pPr>
        <w:pStyle w:val="Standard"/>
        <w:rPr>
          <w:rFonts w:ascii="Calibri" w:hAnsi="Calibri" w:cs="Tahoma"/>
          <w:b/>
        </w:rPr>
      </w:pPr>
    </w:p>
    <w:p w:rsidR="0080344B" w:rsidRDefault="00A05E7E">
      <w:pPr>
        <w:pStyle w:val="Standard"/>
        <w:rPr>
          <w:rFonts w:ascii="Calibri" w:hAnsi="Calibri" w:cs="Tahoma"/>
          <w:b/>
        </w:rPr>
      </w:pPr>
      <w:r>
        <w:rPr>
          <w:rFonts w:ascii="Calibri" w:hAnsi="Calibri" w:cs="Tahoma"/>
          <w:b/>
        </w:rPr>
        <w:t>Nadležan trgovački sud:  Trgovački sud u Pazinu</w:t>
      </w:r>
    </w:p>
    <w:p w:rsidR="0080344B" w:rsidRDefault="00A05E7E">
      <w:pPr>
        <w:pStyle w:val="Standard"/>
        <w:rPr>
          <w:rFonts w:ascii="Calibri" w:hAnsi="Calibri" w:cs="Tahoma"/>
          <w:b/>
        </w:rPr>
      </w:pPr>
      <w:r>
        <w:rPr>
          <w:rFonts w:ascii="Calibri" w:hAnsi="Calibri" w:cs="Tahoma"/>
          <w:b/>
        </w:rPr>
        <w:t xml:space="preserve">Poslovni broj spisa: </w:t>
      </w:r>
      <w:r>
        <w:rPr>
          <w:rFonts w:ascii="Calibri" w:hAnsi="Calibri" w:cs="Tahoma"/>
          <w:b/>
        </w:rPr>
        <w:t xml:space="preserve">         St-665/16-18</w:t>
      </w:r>
    </w:p>
    <w:p w:rsidR="0080344B" w:rsidRDefault="00A05E7E">
      <w:pPr>
        <w:pStyle w:val="Standard"/>
        <w:rPr>
          <w:rFonts w:ascii="Calibri" w:hAnsi="Calibri" w:cs="Tahoma"/>
          <w:b/>
        </w:rPr>
      </w:pPr>
      <w:r>
        <w:rPr>
          <w:rFonts w:ascii="Calibri" w:hAnsi="Calibri" w:cs="Tahoma"/>
          <w:b/>
        </w:rPr>
        <w:t>Dužnik:                                FOLAN d.o.o. u stečaju</w:t>
      </w:r>
    </w:p>
    <w:p w:rsidR="0080344B" w:rsidRDefault="00A05E7E">
      <w:pPr>
        <w:pStyle w:val="Standard"/>
        <w:rPr>
          <w:rFonts w:ascii="Calibri" w:hAnsi="Calibri" w:cs="Tahoma"/>
          <w:b/>
        </w:rPr>
      </w:pPr>
      <w:r>
        <w:rPr>
          <w:rFonts w:ascii="Calibri" w:hAnsi="Calibri" w:cs="Tahoma"/>
          <w:b/>
        </w:rPr>
        <w:t xml:space="preserve">                                             Prilaz </w:t>
      </w:r>
      <w:proofErr w:type="spellStart"/>
      <w:r>
        <w:rPr>
          <w:rFonts w:ascii="Calibri" w:hAnsi="Calibri" w:cs="Tahoma"/>
          <w:b/>
        </w:rPr>
        <w:t>Puljskih</w:t>
      </w:r>
      <w:proofErr w:type="spellEnd"/>
      <w:r>
        <w:rPr>
          <w:rFonts w:ascii="Calibri" w:hAnsi="Calibri" w:cs="Tahoma"/>
          <w:b/>
        </w:rPr>
        <w:t xml:space="preserve"> Španjolskih boraca 4, Pula</w:t>
      </w:r>
    </w:p>
    <w:p w:rsidR="0080344B" w:rsidRDefault="0080344B">
      <w:pPr>
        <w:pStyle w:val="Standard"/>
        <w:rPr>
          <w:rFonts w:ascii="Calibri" w:hAnsi="Calibri" w:cs="Tahoma"/>
        </w:rPr>
      </w:pPr>
    </w:p>
    <w:p w:rsidR="0080344B" w:rsidRDefault="00A05E7E">
      <w:pPr>
        <w:pStyle w:val="Standard"/>
        <w:spacing w:after="0" w:line="288" w:lineRule="auto"/>
        <w:jc w:val="both"/>
        <w:rPr>
          <w:rFonts w:ascii="Calibri" w:hAnsi="Calibri" w:cs="Tahoma"/>
        </w:rPr>
      </w:pPr>
      <w:r>
        <w:rPr>
          <w:rFonts w:ascii="Calibri" w:hAnsi="Calibri" w:cs="Tahoma"/>
        </w:rPr>
        <w:t>Rješenjem Trgovačkog suda u Pazinu, 14. srpnja 2016. godine, otvoren je stečajni po</w:t>
      </w:r>
      <w:r>
        <w:rPr>
          <w:rFonts w:ascii="Calibri" w:hAnsi="Calibri" w:cs="Tahoma"/>
        </w:rPr>
        <w:t xml:space="preserve">stupak nad društvom FOLAN d.o.o., Prilaz </w:t>
      </w:r>
      <w:proofErr w:type="spellStart"/>
      <w:r>
        <w:rPr>
          <w:rFonts w:ascii="Calibri" w:hAnsi="Calibri" w:cs="Tahoma"/>
        </w:rPr>
        <w:t>Puljskih</w:t>
      </w:r>
      <w:proofErr w:type="spellEnd"/>
      <w:r>
        <w:rPr>
          <w:rFonts w:ascii="Calibri" w:hAnsi="Calibri" w:cs="Tahoma"/>
        </w:rPr>
        <w:t xml:space="preserve"> Španjolskih boraca 4, Pula, OIB: 86619734573, MBS: 040034411, te temeljem čl. 227. st. 1. Stečajnog zakona (NN 71/15) stečajni upravitelj podnosi:</w:t>
      </w:r>
    </w:p>
    <w:p w:rsidR="0080344B" w:rsidRDefault="0080344B">
      <w:pPr>
        <w:pStyle w:val="Standard"/>
        <w:spacing w:after="0" w:line="288" w:lineRule="auto"/>
        <w:jc w:val="both"/>
        <w:rPr>
          <w:rFonts w:ascii="Calibri" w:hAnsi="Calibri" w:cs="Tahoma"/>
          <w:b/>
          <w:u w:val="single"/>
        </w:rPr>
      </w:pPr>
    </w:p>
    <w:p w:rsidR="0080344B" w:rsidRDefault="0080344B">
      <w:pPr>
        <w:pStyle w:val="Standard"/>
        <w:spacing w:after="0" w:line="288" w:lineRule="auto"/>
        <w:jc w:val="both"/>
        <w:rPr>
          <w:rFonts w:ascii="Calibri" w:hAnsi="Calibri" w:cs="Tahoma"/>
          <w:b/>
          <w:u w:val="single"/>
        </w:rPr>
      </w:pPr>
    </w:p>
    <w:p w:rsidR="0080344B" w:rsidRDefault="00A05E7E">
      <w:pPr>
        <w:pStyle w:val="Standard"/>
        <w:spacing w:after="0" w:line="288" w:lineRule="auto"/>
        <w:jc w:val="center"/>
        <w:rPr>
          <w:rFonts w:ascii="Calibri" w:hAnsi="Calibri" w:cs="Tahoma"/>
          <w:b/>
        </w:rPr>
      </w:pPr>
      <w:r>
        <w:rPr>
          <w:rFonts w:ascii="Calibri" w:hAnsi="Calibri" w:cs="Tahoma"/>
          <w:b/>
        </w:rPr>
        <w:t>IZVJEŠĆE STEČAJNOGA UPRAVITELJA O GOSPODARSKOM POLOŽAJU S</w:t>
      </w:r>
      <w:r>
        <w:rPr>
          <w:rFonts w:ascii="Calibri" w:hAnsi="Calibri" w:cs="Tahoma"/>
          <w:b/>
        </w:rPr>
        <w:t>TEČAJNOG DUŽNIKA I STANJU IMOVINE I OBVEZA</w:t>
      </w:r>
    </w:p>
    <w:p w:rsidR="0080344B" w:rsidRDefault="0080344B">
      <w:pPr>
        <w:pStyle w:val="Standard"/>
        <w:rPr>
          <w:rFonts w:ascii="Calibri" w:hAnsi="Calibri" w:cs="Tahoma"/>
        </w:rPr>
      </w:pPr>
    </w:p>
    <w:p w:rsidR="0080344B" w:rsidRDefault="0080344B">
      <w:pPr>
        <w:pStyle w:val="Standard"/>
        <w:jc w:val="both"/>
        <w:rPr>
          <w:rFonts w:ascii="Calibri" w:hAnsi="Calibri" w:cs="Tahoma"/>
        </w:rPr>
      </w:pPr>
    </w:p>
    <w:p w:rsidR="0080344B" w:rsidRDefault="00A05E7E">
      <w:pPr>
        <w:pStyle w:val="Standard"/>
        <w:spacing w:after="0"/>
        <w:jc w:val="both"/>
      </w:pPr>
      <w:r>
        <w:rPr>
          <w:rFonts w:ascii="Calibri" w:hAnsi="Calibri" w:cs="Tahoma"/>
          <w:b/>
          <w:u w:val="single"/>
          <w:lang w:eastAsia="hr-HR"/>
        </w:rPr>
        <w:t>I. Opći podaci o stečajnom dužniku i poduzete radnje stečajnog upravitelja</w:t>
      </w:r>
    </w:p>
    <w:p w:rsidR="0080344B" w:rsidRDefault="0080344B">
      <w:pPr>
        <w:pStyle w:val="Standard"/>
        <w:spacing w:after="0"/>
        <w:jc w:val="both"/>
        <w:rPr>
          <w:rFonts w:ascii="Calibri" w:hAnsi="Calibri" w:cs="Tahoma"/>
          <w:lang w:eastAsia="hr-HR"/>
        </w:rPr>
      </w:pPr>
    </w:p>
    <w:p w:rsidR="0080344B" w:rsidRDefault="00A05E7E">
      <w:pPr>
        <w:pStyle w:val="Standard"/>
        <w:spacing w:after="0"/>
        <w:jc w:val="both"/>
        <w:rPr>
          <w:rFonts w:ascii="Calibri" w:hAnsi="Calibri" w:cs="Tahoma"/>
          <w:lang w:eastAsia="hr-HR"/>
        </w:rPr>
      </w:pPr>
      <w:r>
        <w:rPr>
          <w:rFonts w:ascii="Calibri" w:hAnsi="Calibri" w:cs="Tahoma"/>
          <w:lang w:eastAsia="hr-HR"/>
        </w:rPr>
        <w:t xml:space="preserve">Stečajni dužnik FOLAN d.o.o. registriran je kod Trgovačkog suda u Rijeci, pod MBS: 040034411, s danom  07.11.1994. kao društvo s </w:t>
      </w:r>
      <w:r>
        <w:rPr>
          <w:rFonts w:ascii="Calibri" w:hAnsi="Calibri" w:cs="Tahoma"/>
          <w:lang w:eastAsia="hr-HR"/>
        </w:rPr>
        <w:t>ograničenom odgovornošću.</w:t>
      </w:r>
    </w:p>
    <w:p w:rsidR="0080344B" w:rsidRDefault="00A05E7E">
      <w:pPr>
        <w:pStyle w:val="Standard"/>
        <w:spacing w:after="0"/>
        <w:jc w:val="both"/>
        <w:rPr>
          <w:rFonts w:ascii="Calibri" w:hAnsi="Calibri" w:cs="Tahoma"/>
          <w:lang w:eastAsia="hr-HR"/>
        </w:rPr>
      </w:pPr>
      <w:r>
        <w:rPr>
          <w:rFonts w:ascii="Calibri" w:hAnsi="Calibri" w:cs="Tahoma"/>
          <w:lang w:eastAsia="hr-HR"/>
        </w:rPr>
        <w:t>Osnivači/članovi društva</w:t>
      </w:r>
    </w:p>
    <w:p w:rsidR="0080344B" w:rsidRDefault="00A05E7E">
      <w:pPr>
        <w:pStyle w:val="Standard"/>
        <w:spacing w:after="0"/>
        <w:jc w:val="both"/>
        <w:rPr>
          <w:rFonts w:ascii="Calibri" w:hAnsi="Calibri" w:cs="Tahoma"/>
          <w:lang w:eastAsia="hr-HR"/>
        </w:rPr>
      </w:pPr>
      <w:proofErr w:type="spellStart"/>
      <w:r>
        <w:rPr>
          <w:rFonts w:ascii="Calibri" w:hAnsi="Calibri" w:cs="Tahoma"/>
          <w:lang w:eastAsia="hr-HR"/>
        </w:rPr>
        <w:t>Avgusta</w:t>
      </w:r>
      <w:proofErr w:type="spellEnd"/>
      <w:r>
        <w:rPr>
          <w:rFonts w:ascii="Calibri" w:hAnsi="Calibri" w:cs="Tahoma"/>
          <w:lang w:eastAsia="hr-HR"/>
        </w:rPr>
        <w:t xml:space="preserve"> </w:t>
      </w:r>
      <w:proofErr w:type="spellStart"/>
      <w:r>
        <w:rPr>
          <w:rFonts w:ascii="Calibri" w:hAnsi="Calibri" w:cs="Tahoma"/>
          <w:lang w:eastAsia="hr-HR"/>
        </w:rPr>
        <w:t>Kafol</w:t>
      </w:r>
      <w:proofErr w:type="spellEnd"/>
      <w:r>
        <w:rPr>
          <w:rFonts w:ascii="Calibri" w:hAnsi="Calibri" w:cs="Tahoma"/>
          <w:lang w:eastAsia="hr-HR"/>
        </w:rPr>
        <w:t>, OIB: 32020957565</w:t>
      </w:r>
    </w:p>
    <w:p w:rsidR="0080344B" w:rsidRDefault="00A05E7E">
      <w:pPr>
        <w:pStyle w:val="Standard"/>
        <w:spacing w:after="0"/>
        <w:jc w:val="both"/>
        <w:rPr>
          <w:rFonts w:ascii="Calibri" w:hAnsi="Calibri" w:cs="Tahoma"/>
          <w:lang w:eastAsia="hr-HR"/>
        </w:rPr>
      </w:pPr>
      <w:r>
        <w:rPr>
          <w:rFonts w:ascii="Calibri" w:hAnsi="Calibri" w:cs="Tahoma"/>
          <w:lang w:eastAsia="hr-HR"/>
        </w:rPr>
        <w:t xml:space="preserve">Slovenija, </w:t>
      </w:r>
      <w:proofErr w:type="spellStart"/>
      <w:r>
        <w:rPr>
          <w:rFonts w:ascii="Calibri" w:hAnsi="Calibri" w:cs="Tahoma"/>
          <w:lang w:eastAsia="hr-HR"/>
        </w:rPr>
        <w:t>Komen</w:t>
      </w:r>
      <w:proofErr w:type="spellEnd"/>
      <w:r>
        <w:rPr>
          <w:rFonts w:ascii="Calibri" w:hAnsi="Calibri" w:cs="Tahoma"/>
          <w:lang w:eastAsia="hr-HR"/>
        </w:rPr>
        <w:t xml:space="preserve">, </w:t>
      </w:r>
      <w:proofErr w:type="spellStart"/>
      <w:r>
        <w:rPr>
          <w:rFonts w:ascii="Calibri" w:hAnsi="Calibri" w:cs="Tahoma"/>
          <w:lang w:eastAsia="hr-HR"/>
        </w:rPr>
        <w:t>Komen</w:t>
      </w:r>
      <w:proofErr w:type="spellEnd"/>
      <w:r>
        <w:rPr>
          <w:rFonts w:ascii="Calibri" w:hAnsi="Calibri" w:cs="Tahoma"/>
          <w:lang w:eastAsia="hr-HR"/>
        </w:rPr>
        <w:t xml:space="preserve"> 106</w:t>
      </w:r>
    </w:p>
    <w:p w:rsidR="0080344B" w:rsidRDefault="00A05E7E">
      <w:pPr>
        <w:pStyle w:val="Standard"/>
        <w:numPr>
          <w:ilvl w:val="0"/>
          <w:numId w:val="26"/>
        </w:numPr>
        <w:spacing w:after="0"/>
        <w:jc w:val="both"/>
        <w:rPr>
          <w:rFonts w:ascii="Calibri" w:hAnsi="Calibri" w:cs="Tahoma"/>
          <w:lang w:eastAsia="hr-HR"/>
        </w:rPr>
      </w:pPr>
      <w:r>
        <w:rPr>
          <w:rFonts w:ascii="Calibri" w:hAnsi="Calibri" w:cs="Tahoma"/>
          <w:lang w:eastAsia="hr-HR"/>
        </w:rPr>
        <w:t>član društva</w:t>
      </w:r>
    </w:p>
    <w:p w:rsidR="0080344B" w:rsidRDefault="0080344B">
      <w:pPr>
        <w:pStyle w:val="Standard"/>
        <w:spacing w:after="0"/>
        <w:ind w:left="60"/>
        <w:jc w:val="both"/>
        <w:rPr>
          <w:rFonts w:ascii="Calibri" w:hAnsi="Calibri" w:cs="Tahoma"/>
          <w:lang w:eastAsia="hr-HR"/>
        </w:rPr>
      </w:pPr>
    </w:p>
    <w:p w:rsidR="0080344B" w:rsidRDefault="00A05E7E">
      <w:pPr>
        <w:pStyle w:val="Standard"/>
        <w:spacing w:after="0"/>
        <w:jc w:val="both"/>
        <w:rPr>
          <w:rFonts w:ascii="Calibri" w:hAnsi="Calibri" w:cs="Tahoma"/>
          <w:lang w:eastAsia="hr-HR"/>
        </w:rPr>
      </w:pPr>
      <w:r>
        <w:rPr>
          <w:rFonts w:ascii="Calibri" w:hAnsi="Calibri" w:cs="Tahoma"/>
          <w:lang w:eastAsia="hr-HR"/>
        </w:rPr>
        <w:t>Goran Ban, OIB: 68223693522</w:t>
      </w:r>
    </w:p>
    <w:p w:rsidR="0080344B" w:rsidRDefault="00A05E7E">
      <w:pPr>
        <w:pStyle w:val="Standard"/>
        <w:spacing w:after="0"/>
        <w:jc w:val="both"/>
        <w:rPr>
          <w:rFonts w:ascii="Calibri" w:hAnsi="Calibri" w:cs="Tahoma"/>
          <w:lang w:eastAsia="hr-HR"/>
        </w:rPr>
      </w:pPr>
      <w:r>
        <w:rPr>
          <w:rFonts w:ascii="Calibri" w:hAnsi="Calibri" w:cs="Tahoma"/>
          <w:lang w:eastAsia="hr-HR"/>
        </w:rPr>
        <w:t xml:space="preserve">Pula, Prilaz </w:t>
      </w:r>
      <w:proofErr w:type="spellStart"/>
      <w:r>
        <w:rPr>
          <w:rFonts w:ascii="Calibri" w:hAnsi="Calibri" w:cs="Tahoma"/>
          <w:lang w:eastAsia="hr-HR"/>
        </w:rPr>
        <w:t>Puljskih</w:t>
      </w:r>
      <w:proofErr w:type="spellEnd"/>
      <w:r>
        <w:rPr>
          <w:rFonts w:ascii="Calibri" w:hAnsi="Calibri" w:cs="Tahoma"/>
          <w:lang w:eastAsia="hr-HR"/>
        </w:rPr>
        <w:t xml:space="preserve"> </w:t>
      </w:r>
      <w:proofErr w:type="spellStart"/>
      <w:r>
        <w:rPr>
          <w:rFonts w:ascii="Calibri" w:hAnsi="Calibri" w:cs="Tahoma"/>
          <w:lang w:eastAsia="hr-HR"/>
        </w:rPr>
        <w:t>Šp.boraca</w:t>
      </w:r>
      <w:proofErr w:type="spellEnd"/>
      <w:r>
        <w:rPr>
          <w:rFonts w:ascii="Calibri" w:hAnsi="Calibri" w:cs="Tahoma"/>
          <w:lang w:eastAsia="hr-HR"/>
        </w:rPr>
        <w:t xml:space="preserve"> 4</w:t>
      </w:r>
    </w:p>
    <w:p w:rsidR="0080344B" w:rsidRDefault="00A05E7E">
      <w:pPr>
        <w:pStyle w:val="Standard"/>
        <w:numPr>
          <w:ilvl w:val="0"/>
          <w:numId w:val="26"/>
        </w:numPr>
        <w:spacing w:after="0"/>
        <w:jc w:val="both"/>
        <w:rPr>
          <w:rFonts w:ascii="Calibri" w:hAnsi="Calibri" w:cs="Tahoma"/>
          <w:lang w:eastAsia="hr-HR"/>
        </w:rPr>
      </w:pPr>
      <w:r>
        <w:rPr>
          <w:rFonts w:ascii="Calibri" w:hAnsi="Calibri" w:cs="Tahoma"/>
          <w:lang w:eastAsia="hr-HR"/>
        </w:rPr>
        <w:t>član društva</w:t>
      </w:r>
    </w:p>
    <w:p w:rsidR="0080344B" w:rsidRDefault="0080344B">
      <w:pPr>
        <w:pStyle w:val="Standard"/>
        <w:spacing w:after="0"/>
        <w:ind w:left="60"/>
        <w:jc w:val="both"/>
        <w:rPr>
          <w:rFonts w:ascii="Calibri" w:hAnsi="Calibri" w:cs="Tahoma"/>
          <w:lang w:eastAsia="hr-HR"/>
        </w:rPr>
      </w:pPr>
    </w:p>
    <w:p w:rsidR="0080344B" w:rsidRDefault="00A05E7E">
      <w:pPr>
        <w:pStyle w:val="Standard"/>
        <w:spacing w:after="0"/>
        <w:ind w:left="60"/>
        <w:jc w:val="both"/>
        <w:rPr>
          <w:rFonts w:ascii="Calibri" w:hAnsi="Calibri" w:cs="Tahoma"/>
          <w:lang w:eastAsia="hr-HR"/>
        </w:rPr>
      </w:pPr>
      <w:r>
        <w:rPr>
          <w:rFonts w:ascii="Calibri" w:hAnsi="Calibri" w:cs="Tahoma"/>
          <w:lang w:eastAsia="hr-HR"/>
        </w:rPr>
        <w:t xml:space="preserve">Osnovna djelatnost stečajnog dužnika bila je </w:t>
      </w:r>
      <w:r>
        <w:rPr>
          <w:rFonts w:ascii="Calibri" w:hAnsi="Calibri" w:cs="Tahoma"/>
          <w:lang w:eastAsia="hr-HR"/>
        </w:rPr>
        <w:t>građevinarstvo, trgovina i poslovanje nekretninama.</w:t>
      </w:r>
    </w:p>
    <w:p w:rsidR="0080344B" w:rsidRDefault="00A05E7E">
      <w:pPr>
        <w:pStyle w:val="Standard"/>
        <w:spacing w:after="0"/>
        <w:ind w:left="60"/>
        <w:jc w:val="both"/>
        <w:rPr>
          <w:rFonts w:ascii="Calibri" w:hAnsi="Calibri" w:cs="Tahoma"/>
          <w:lang w:eastAsia="hr-HR"/>
        </w:rPr>
      </w:pPr>
      <w:r>
        <w:rPr>
          <w:rFonts w:ascii="Calibri" w:hAnsi="Calibri" w:cs="Tahoma"/>
          <w:lang w:eastAsia="hr-HR"/>
        </w:rPr>
        <w:lastRenderedPageBreak/>
        <w:t>Na dan otvaranja stečajnog postupka dužnik nije imao zaposlene radnike.</w:t>
      </w:r>
    </w:p>
    <w:p w:rsidR="0080344B" w:rsidRDefault="00A05E7E">
      <w:pPr>
        <w:pStyle w:val="Standard"/>
        <w:spacing w:after="0"/>
        <w:ind w:left="60"/>
        <w:jc w:val="both"/>
        <w:rPr>
          <w:rFonts w:ascii="Calibri" w:hAnsi="Calibri" w:cs="Tahoma"/>
          <w:lang w:eastAsia="hr-HR"/>
        </w:rPr>
      </w:pPr>
      <w:r>
        <w:rPr>
          <w:rFonts w:ascii="Calibri" w:hAnsi="Calibri" w:cs="Tahoma"/>
          <w:lang w:eastAsia="hr-HR"/>
        </w:rPr>
        <w:t xml:space="preserve">Sukladno Stečajnom zakonu, nakon otvaranja stečajnog postupka nad dužnikom, objavljen je oglas o otvaranju na e-oglasnoj ploči suda </w:t>
      </w:r>
      <w:r>
        <w:rPr>
          <w:rFonts w:ascii="Calibri" w:hAnsi="Calibri" w:cs="Tahoma"/>
          <w:lang w:eastAsia="hr-HR"/>
        </w:rPr>
        <w:t>dana 14. srpnja 2016. godine s pozivom vjerovnicima da prijave svoje tražbine u roku od 60 dana, te poziv dužnikovim dužnicima da svoje obveze bez odgode ispunjavaju stečajnom upravitelju za stečajnog dužnika.</w:t>
      </w:r>
    </w:p>
    <w:p w:rsidR="0080344B" w:rsidRDefault="00A05E7E">
      <w:pPr>
        <w:pStyle w:val="Standard"/>
        <w:spacing w:after="0"/>
        <w:ind w:left="60"/>
        <w:jc w:val="both"/>
        <w:rPr>
          <w:rFonts w:ascii="Calibri" w:hAnsi="Calibri" w:cs="Tahoma"/>
          <w:lang w:eastAsia="hr-HR"/>
        </w:rPr>
      </w:pPr>
      <w:r>
        <w:rPr>
          <w:rFonts w:ascii="Calibri" w:hAnsi="Calibri" w:cs="Tahoma"/>
          <w:lang w:eastAsia="hr-HR"/>
        </w:rPr>
        <w:t>Ispitno i izvještajno ročište zakazano je za d</w:t>
      </w:r>
      <w:r>
        <w:rPr>
          <w:rFonts w:ascii="Calibri" w:hAnsi="Calibri" w:cs="Tahoma"/>
          <w:lang w:eastAsia="hr-HR"/>
        </w:rPr>
        <w:t>an 11. listopada 2016.godine.</w:t>
      </w:r>
    </w:p>
    <w:p w:rsidR="0080344B" w:rsidRDefault="0080344B">
      <w:pPr>
        <w:pStyle w:val="Standard"/>
        <w:spacing w:after="0"/>
        <w:ind w:left="60"/>
        <w:jc w:val="both"/>
        <w:rPr>
          <w:rFonts w:ascii="Calibri" w:hAnsi="Calibri" w:cs="Tahoma"/>
          <w:lang w:eastAsia="hr-HR"/>
        </w:rPr>
      </w:pPr>
    </w:p>
    <w:p w:rsidR="0080344B" w:rsidRDefault="00A05E7E">
      <w:pPr>
        <w:pStyle w:val="Standard"/>
        <w:spacing w:after="0"/>
        <w:ind w:left="60"/>
        <w:jc w:val="both"/>
        <w:rPr>
          <w:rFonts w:ascii="Calibri" w:hAnsi="Calibri" w:cs="Tahoma"/>
          <w:lang w:eastAsia="hr-HR"/>
        </w:rPr>
      </w:pPr>
      <w:r>
        <w:rPr>
          <w:rFonts w:ascii="Calibri" w:hAnsi="Calibri" w:cs="Tahoma"/>
          <w:lang w:eastAsia="hr-HR"/>
        </w:rPr>
        <w:t>U sudsku pisarnicu predane su tablice sa svim pristiglim tražbinama, popis zastupnika stečajnih vjerovnika, tablica uplaćenih sudskih pristojbi, kao i Popis predmeta stečajne mase te Pregled imovine i obveza stečajnog dužnika</w:t>
      </w:r>
      <w:r>
        <w:rPr>
          <w:rFonts w:ascii="Calibri" w:hAnsi="Calibri" w:cs="Tahoma"/>
          <w:lang w:eastAsia="hr-HR"/>
        </w:rPr>
        <w:t>.</w:t>
      </w:r>
    </w:p>
    <w:p w:rsidR="0080344B" w:rsidRDefault="0080344B">
      <w:pPr>
        <w:pStyle w:val="Standard"/>
        <w:spacing w:after="0"/>
        <w:ind w:left="60"/>
        <w:jc w:val="both"/>
        <w:rPr>
          <w:rFonts w:ascii="Calibri" w:hAnsi="Calibri" w:cs="Tahoma"/>
          <w:lang w:eastAsia="hr-HR"/>
        </w:rPr>
      </w:pPr>
    </w:p>
    <w:p w:rsidR="0080344B" w:rsidRDefault="00A05E7E">
      <w:pPr>
        <w:pStyle w:val="Standard"/>
        <w:spacing w:after="0"/>
        <w:ind w:left="60"/>
        <w:jc w:val="both"/>
        <w:rPr>
          <w:rFonts w:ascii="Calibri" w:hAnsi="Calibri" w:cs="Tahoma"/>
          <w:lang w:eastAsia="hr-HR"/>
        </w:rPr>
      </w:pPr>
      <w:r>
        <w:rPr>
          <w:rFonts w:ascii="Calibri" w:hAnsi="Calibri" w:cs="Tahoma"/>
          <w:lang w:eastAsia="hr-HR"/>
        </w:rPr>
        <w:t>Stečajni upravitelj preuzeo je dužnost danom otvaranja stečajnog postupka, te su nakon toga poduzete aktivnosti kako slijedi:</w:t>
      </w:r>
    </w:p>
    <w:p w:rsidR="0080344B" w:rsidRDefault="00A05E7E">
      <w:pPr>
        <w:pStyle w:val="Odlomakpopisa1"/>
        <w:numPr>
          <w:ilvl w:val="0"/>
          <w:numId w:val="27"/>
        </w:numPr>
        <w:spacing w:after="0"/>
        <w:jc w:val="both"/>
        <w:rPr>
          <w:rFonts w:cs="Tahoma"/>
          <w:lang w:eastAsia="hr-HR"/>
        </w:rPr>
      </w:pPr>
      <w:r>
        <w:rPr>
          <w:rFonts w:cs="Tahoma"/>
          <w:lang w:eastAsia="hr-HR"/>
        </w:rPr>
        <w:t>izrađen je žig  s oznakom „u stečaju“,</w:t>
      </w:r>
    </w:p>
    <w:p w:rsidR="0080344B" w:rsidRDefault="00A05E7E">
      <w:pPr>
        <w:pStyle w:val="Odlomakpopisa1"/>
        <w:numPr>
          <w:ilvl w:val="0"/>
          <w:numId w:val="27"/>
        </w:numPr>
        <w:spacing w:after="0" w:line="288" w:lineRule="auto"/>
        <w:jc w:val="both"/>
        <w:rPr>
          <w:rFonts w:cs="Tahoma"/>
        </w:rPr>
      </w:pPr>
      <w:r>
        <w:rPr>
          <w:rFonts w:cs="Tahoma"/>
        </w:rPr>
        <w:t>zatražena je  dokumentacija stečajnog dužnika,</w:t>
      </w:r>
    </w:p>
    <w:p w:rsidR="0080344B" w:rsidRDefault="00A05E7E">
      <w:pPr>
        <w:pStyle w:val="Odlomakpopisa1"/>
        <w:numPr>
          <w:ilvl w:val="0"/>
          <w:numId w:val="27"/>
        </w:numPr>
        <w:spacing w:after="0" w:line="288" w:lineRule="auto"/>
        <w:jc w:val="both"/>
        <w:rPr>
          <w:rFonts w:cs="Tahoma"/>
        </w:rPr>
      </w:pPr>
      <w:r>
        <w:rPr>
          <w:rFonts w:cs="Tahoma"/>
        </w:rPr>
        <w:t xml:space="preserve">izvršena je detaljna analiza radi </w:t>
      </w:r>
      <w:r>
        <w:rPr>
          <w:rFonts w:cs="Tahoma"/>
        </w:rPr>
        <w:t>utvrđivanja osnovanosti tražbina svih pristiglih vjerovnika stečajnog dužnika do dana održavanja ispitnog i izvještajnog ročišta i sastavljene su tablice prijavljenih tražbina vjerovnika,</w:t>
      </w:r>
    </w:p>
    <w:p w:rsidR="0080344B" w:rsidRDefault="00A05E7E">
      <w:pPr>
        <w:pStyle w:val="Odlomakpopisa1"/>
        <w:numPr>
          <w:ilvl w:val="0"/>
          <w:numId w:val="27"/>
        </w:numPr>
        <w:spacing w:after="0" w:line="288" w:lineRule="auto"/>
        <w:jc w:val="both"/>
        <w:rPr>
          <w:rFonts w:cs="Tahoma"/>
        </w:rPr>
      </w:pPr>
      <w:r>
        <w:rPr>
          <w:rFonts w:cs="Tahoma"/>
        </w:rPr>
        <w:t>izvršen je popis nekretnina i pokretnina stečajnog dužnika,</w:t>
      </w:r>
    </w:p>
    <w:p w:rsidR="0080344B" w:rsidRDefault="00A05E7E">
      <w:pPr>
        <w:pStyle w:val="Odlomakpopisa1"/>
        <w:numPr>
          <w:ilvl w:val="0"/>
          <w:numId w:val="28"/>
        </w:numPr>
        <w:spacing w:after="0" w:line="288" w:lineRule="auto"/>
        <w:ind w:left="357" w:hanging="357"/>
        <w:jc w:val="both"/>
        <w:rPr>
          <w:rFonts w:cs="Tahoma"/>
        </w:rPr>
      </w:pPr>
      <w:r>
        <w:rPr>
          <w:rFonts w:cs="Tahoma"/>
        </w:rPr>
        <w:t>izrađena</w:t>
      </w:r>
      <w:r>
        <w:rPr>
          <w:rFonts w:cs="Tahoma"/>
        </w:rPr>
        <w:t xml:space="preserve"> je početna stečajna bilanca.</w:t>
      </w:r>
    </w:p>
    <w:p w:rsidR="0080344B" w:rsidRDefault="0080344B">
      <w:pPr>
        <w:pStyle w:val="Odlomakpopisa1"/>
        <w:spacing w:after="0" w:line="288" w:lineRule="auto"/>
        <w:ind w:left="357"/>
        <w:jc w:val="both"/>
        <w:rPr>
          <w:rFonts w:cs="Tahoma"/>
        </w:rPr>
      </w:pPr>
    </w:p>
    <w:p w:rsidR="0080344B" w:rsidRDefault="0080344B">
      <w:pPr>
        <w:pStyle w:val="Standard"/>
        <w:spacing w:after="0" w:line="288" w:lineRule="auto"/>
        <w:ind w:left="357"/>
        <w:jc w:val="both"/>
        <w:rPr>
          <w:rFonts w:ascii="Calibri" w:hAnsi="Calibri" w:cs="Tahoma"/>
        </w:rPr>
      </w:pPr>
    </w:p>
    <w:p w:rsidR="0080344B" w:rsidRDefault="00A05E7E">
      <w:pPr>
        <w:pStyle w:val="Standard"/>
        <w:spacing w:after="0" w:line="288" w:lineRule="auto"/>
        <w:jc w:val="both"/>
      </w:pPr>
      <w:r>
        <w:rPr>
          <w:rFonts w:ascii="Calibri" w:hAnsi="Calibri" w:cs="Tahoma"/>
          <w:b/>
        </w:rPr>
        <w:t xml:space="preserve">II. </w:t>
      </w:r>
      <w:r>
        <w:rPr>
          <w:rFonts w:ascii="Calibri" w:hAnsi="Calibri" w:cs="Tahoma"/>
          <w:b/>
          <w:u w:val="single"/>
        </w:rPr>
        <w:t xml:space="preserve">Uzroci stečaja i stanje stečajne mase </w:t>
      </w:r>
    </w:p>
    <w:p w:rsidR="0080344B" w:rsidRDefault="0080344B">
      <w:pPr>
        <w:pStyle w:val="Standard"/>
        <w:spacing w:after="0" w:line="288" w:lineRule="auto"/>
        <w:jc w:val="both"/>
        <w:rPr>
          <w:rFonts w:ascii="Calibri" w:hAnsi="Calibri" w:cs="Tahoma"/>
          <w:b/>
          <w:u w:val="single"/>
        </w:rPr>
      </w:pPr>
    </w:p>
    <w:p w:rsidR="0080344B" w:rsidRDefault="00A05E7E">
      <w:pPr>
        <w:pStyle w:val="Standard"/>
        <w:spacing w:after="0" w:line="288" w:lineRule="auto"/>
        <w:jc w:val="both"/>
        <w:rPr>
          <w:rFonts w:ascii="Calibri" w:hAnsi="Calibri" w:cs="Tahoma"/>
        </w:rPr>
      </w:pPr>
      <w:r>
        <w:rPr>
          <w:rFonts w:ascii="Calibri" w:hAnsi="Calibri" w:cs="Tahoma"/>
        </w:rPr>
        <w:t>Predlagatelj FINA podnijela je po odredbi čl. 444. st. 2. Stečajnog zakona  prijedlog za otvaranje stečajnog postupka te je dana 9. lipnja 2016. kod Trgovačkog suda u Pazinu održan</w:t>
      </w:r>
      <w:r>
        <w:rPr>
          <w:rFonts w:ascii="Calibri" w:hAnsi="Calibri" w:cs="Tahoma"/>
        </w:rPr>
        <w:t xml:space="preserve">o ročište  na koje su pristupili zakonski zastupnici dužnika </w:t>
      </w:r>
      <w:proofErr w:type="spellStart"/>
      <w:r>
        <w:rPr>
          <w:rFonts w:ascii="Calibri" w:hAnsi="Calibri" w:cs="Tahoma"/>
        </w:rPr>
        <w:t>Avgusta</w:t>
      </w:r>
      <w:proofErr w:type="spellEnd"/>
      <w:r>
        <w:rPr>
          <w:rFonts w:ascii="Calibri" w:hAnsi="Calibri" w:cs="Tahoma"/>
        </w:rPr>
        <w:t xml:space="preserve"> </w:t>
      </w:r>
      <w:proofErr w:type="spellStart"/>
      <w:r>
        <w:rPr>
          <w:rFonts w:ascii="Calibri" w:hAnsi="Calibri" w:cs="Tahoma"/>
        </w:rPr>
        <w:t>Kafol</w:t>
      </w:r>
      <w:proofErr w:type="spellEnd"/>
      <w:r>
        <w:rPr>
          <w:rFonts w:ascii="Calibri" w:hAnsi="Calibri" w:cs="Tahoma"/>
        </w:rPr>
        <w:t xml:space="preserve">  i Goran Ban.</w:t>
      </w:r>
    </w:p>
    <w:p w:rsidR="0080344B" w:rsidRDefault="00A05E7E">
      <w:pPr>
        <w:pStyle w:val="Standard"/>
        <w:spacing w:after="0" w:line="288" w:lineRule="auto"/>
        <w:jc w:val="both"/>
        <w:rPr>
          <w:rFonts w:ascii="Calibri" w:hAnsi="Calibri" w:cs="Tahoma"/>
        </w:rPr>
      </w:pPr>
      <w:r>
        <w:rPr>
          <w:rFonts w:ascii="Calibri" w:hAnsi="Calibri" w:cs="Tahoma"/>
        </w:rPr>
        <w:t xml:space="preserve">S obzirom da  su zakonski zastupnici naveli da je dužnik prezadužen, da ne posluje, te da je nesposoban za plaćanje u neprekidnom razdoblju duljem od 120 dana, sud je </w:t>
      </w:r>
      <w:r>
        <w:rPr>
          <w:rFonts w:ascii="Calibri" w:hAnsi="Calibri" w:cs="Tahoma"/>
        </w:rPr>
        <w:t xml:space="preserve"> primjenom čl. 129. i 130. Stečajnog zakona donio rješenje o otvaranju stečajnog postupka.</w:t>
      </w:r>
    </w:p>
    <w:p w:rsidR="0080344B" w:rsidRDefault="00A05E7E">
      <w:pPr>
        <w:spacing w:after="0" w:line="288" w:lineRule="auto"/>
        <w:jc w:val="both"/>
      </w:pPr>
      <w:r>
        <w:rPr>
          <w:rFonts w:ascii="Calibri" w:hAnsi="Calibri" w:cs="Tahoma"/>
        </w:rPr>
        <w:t>U cilju izrade početne stečajne bilance i pregleda imovine i obveza stečajnog dužnika sukladno čl. 223. Stečajnog zakona angažiran je knjigovodstveni servis BIRO PLU</w:t>
      </w:r>
      <w:r>
        <w:rPr>
          <w:rFonts w:ascii="Calibri" w:hAnsi="Calibri" w:cs="Tahoma"/>
        </w:rPr>
        <w:t>S d.o.o. iz Čakovca, te je zatražena slijedeća knjigovodstvena dokumentacija stečajnog dužnika</w:t>
      </w:r>
    </w:p>
    <w:p w:rsidR="0080344B" w:rsidRDefault="00A05E7E">
      <w:pPr>
        <w:pStyle w:val="Odlomakpopisa"/>
        <w:numPr>
          <w:ilvl w:val="0"/>
          <w:numId w:val="29"/>
        </w:numPr>
        <w:spacing w:after="0" w:line="288" w:lineRule="auto"/>
        <w:jc w:val="both"/>
        <w:rPr>
          <w:rFonts w:ascii="Calibri" w:hAnsi="Calibri" w:cs="Tahoma"/>
        </w:rPr>
      </w:pPr>
      <w:r>
        <w:rPr>
          <w:rFonts w:ascii="Calibri" w:hAnsi="Calibri" w:cs="Tahoma"/>
        </w:rPr>
        <w:t>Bruto bilanca  na dan 31.12.2013., 31.12.2014., 31.12.2015., te na dan 13.07.2016. godine</w:t>
      </w:r>
    </w:p>
    <w:p w:rsidR="0080344B" w:rsidRDefault="00A05E7E">
      <w:pPr>
        <w:pStyle w:val="Odlomakpopisa"/>
        <w:numPr>
          <w:ilvl w:val="0"/>
          <w:numId w:val="29"/>
        </w:numPr>
        <w:spacing w:after="0" w:line="288" w:lineRule="auto"/>
        <w:jc w:val="both"/>
        <w:rPr>
          <w:rFonts w:ascii="Calibri" w:hAnsi="Calibri" w:cs="Tahoma"/>
        </w:rPr>
      </w:pPr>
      <w:r>
        <w:rPr>
          <w:rFonts w:ascii="Calibri" w:hAnsi="Calibri" w:cs="Tahoma"/>
        </w:rPr>
        <w:t>Godišnji financijski izvještaji poduzetnika za 2013., 2016. I 2015. god</w:t>
      </w:r>
      <w:r>
        <w:rPr>
          <w:rFonts w:ascii="Calibri" w:hAnsi="Calibri" w:cs="Tahoma"/>
        </w:rPr>
        <w:t xml:space="preserve">inu </w:t>
      </w:r>
    </w:p>
    <w:p w:rsidR="0080344B" w:rsidRDefault="00A05E7E">
      <w:pPr>
        <w:pStyle w:val="Odlomakpopisa"/>
        <w:numPr>
          <w:ilvl w:val="0"/>
          <w:numId w:val="29"/>
        </w:numPr>
        <w:spacing w:after="0" w:line="288" w:lineRule="auto"/>
        <w:jc w:val="both"/>
        <w:rPr>
          <w:rFonts w:ascii="Calibri" w:hAnsi="Calibri" w:cs="Tahoma"/>
        </w:rPr>
      </w:pPr>
      <w:r>
        <w:rPr>
          <w:rFonts w:ascii="Calibri" w:hAnsi="Calibri" w:cs="Tahoma"/>
        </w:rPr>
        <w:t>Otvorene stavke svih potraživanja i obveza na dan 13.07.2016. godine, te kartice glavne knjige</w:t>
      </w:r>
    </w:p>
    <w:p w:rsidR="0080344B" w:rsidRDefault="00A05E7E">
      <w:pPr>
        <w:pStyle w:val="Odlomakpopisa"/>
        <w:numPr>
          <w:ilvl w:val="0"/>
          <w:numId w:val="29"/>
        </w:numPr>
        <w:spacing w:after="0" w:line="288" w:lineRule="auto"/>
        <w:jc w:val="both"/>
        <w:rPr>
          <w:rFonts w:ascii="Calibri" w:hAnsi="Calibri" w:cs="Tahoma"/>
        </w:rPr>
      </w:pPr>
      <w:r>
        <w:rPr>
          <w:rFonts w:ascii="Calibri" w:hAnsi="Calibri" w:cs="Tahoma"/>
        </w:rPr>
        <w:t>Inventurni popis imovine na dan 31.12.2015.  i 13.07.2016. godine</w:t>
      </w:r>
    </w:p>
    <w:p w:rsidR="0080344B" w:rsidRDefault="00A05E7E">
      <w:pPr>
        <w:pStyle w:val="Odlomakpopisa"/>
        <w:numPr>
          <w:ilvl w:val="0"/>
          <w:numId w:val="29"/>
        </w:numPr>
        <w:spacing w:after="0" w:line="288" w:lineRule="auto"/>
        <w:jc w:val="both"/>
        <w:rPr>
          <w:rFonts w:ascii="Calibri" w:hAnsi="Calibri" w:cs="Tahoma"/>
        </w:rPr>
      </w:pPr>
      <w:proofErr w:type="spellStart"/>
      <w:r>
        <w:rPr>
          <w:rFonts w:ascii="Calibri" w:hAnsi="Calibri" w:cs="Tahoma"/>
        </w:rPr>
        <w:t>Prokazni</w:t>
      </w:r>
      <w:proofErr w:type="spellEnd"/>
      <w:r>
        <w:rPr>
          <w:rFonts w:ascii="Calibri" w:hAnsi="Calibri" w:cs="Tahoma"/>
        </w:rPr>
        <w:t xml:space="preserve"> popis imovine, te ostala potrebna dokumentacija</w:t>
      </w:r>
    </w:p>
    <w:p w:rsidR="0080344B" w:rsidRDefault="0080344B">
      <w:pPr>
        <w:spacing w:after="0" w:line="288" w:lineRule="auto"/>
        <w:jc w:val="both"/>
        <w:rPr>
          <w:rFonts w:ascii="Calibri" w:hAnsi="Calibri" w:cs="Tahoma"/>
        </w:rPr>
      </w:pPr>
    </w:p>
    <w:p w:rsidR="0080344B" w:rsidRDefault="00A05E7E">
      <w:pPr>
        <w:spacing w:after="0" w:line="288" w:lineRule="auto"/>
        <w:jc w:val="both"/>
        <w:rPr>
          <w:rFonts w:ascii="Calibri" w:hAnsi="Calibri" w:cs="Tahoma"/>
        </w:rPr>
      </w:pPr>
      <w:r>
        <w:rPr>
          <w:rFonts w:ascii="Calibri" w:hAnsi="Calibri" w:cs="Tahoma"/>
        </w:rPr>
        <w:t xml:space="preserve">Iz dokumentacije dostavljene od </w:t>
      </w:r>
      <w:r>
        <w:rPr>
          <w:rFonts w:ascii="Calibri" w:hAnsi="Calibri" w:cs="Tahoma"/>
        </w:rPr>
        <w:t>strane odgovorne osobe TD FOLAN d.o.o. vidljivo je da stečajni dužnik već godinama ne obavlja registriranu djelatnost, te da je zadnje Financijsko izvješće predano za 2013. godinu, te je na temelju Bilance na dan 31.12.2013. godine izrađena početna stečajn</w:t>
      </w:r>
      <w:r>
        <w:rPr>
          <w:rFonts w:ascii="Calibri" w:hAnsi="Calibri" w:cs="Tahoma"/>
        </w:rPr>
        <w:t xml:space="preserve">a bilanca. </w:t>
      </w:r>
    </w:p>
    <w:p w:rsidR="0080344B" w:rsidRDefault="0080344B">
      <w:pPr>
        <w:pStyle w:val="Odlomakpopisa"/>
        <w:spacing w:after="0" w:line="288" w:lineRule="auto"/>
        <w:ind w:left="794"/>
        <w:jc w:val="both"/>
        <w:rPr>
          <w:rFonts w:ascii="Calibri" w:hAnsi="Calibri" w:cs="Tahoma"/>
        </w:rPr>
      </w:pPr>
    </w:p>
    <w:p w:rsidR="0080344B" w:rsidRDefault="0080344B">
      <w:pPr>
        <w:pStyle w:val="Odlomakpopisa"/>
        <w:spacing w:after="0" w:line="288" w:lineRule="auto"/>
        <w:ind w:left="794"/>
        <w:jc w:val="both"/>
        <w:rPr>
          <w:rFonts w:ascii="Calibri" w:hAnsi="Calibri" w:cs="Tahoma"/>
        </w:rPr>
      </w:pPr>
    </w:p>
    <w:p w:rsidR="0080344B" w:rsidRDefault="00A05E7E">
      <w:pPr>
        <w:pStyle w:val="Standard"/>
        <w:spacing w:after="0" w:line="288" w:lineRule="auto"/>
        <w:jc w:val="both"/>
        <w:rPr>
          <w:rFonts w:ascii="Calibri" w:hAnsi="Calibri" w:cs="Tahoma"/>
          <w:b/>
          <w:u w:val="single"/>
        </w:rPr>
      </w:pPr>
      <w:r>
        <w:rPr>
          <w:rFonts w:ascii="Calibri" w:hAnsi="Calibri" w:cs="Tahoma"/>
          <w:b/>
          <w:u w:val="single"/>
        </w:rPr>
        <w:t xml:space="preserve">III. Utvrđena početna stečajna bilanca </w:t>
      </w:r>
    </w:p>
    <w:p w:rsidR="0080344B" w:rsidRDefault="0080344B">
      <w:pPr>
        <w:pStyle w:val="Standard"/>
        <w:spacing w:after="0" w:line="288" w:lineRule="auto"/>
        <w:jc w:val="both"/>
        <w:rPr>
          <w:rFonts w:ascii="Calibri" w:hAnsi="Calibri" w:cs="Tahoma"/>
          <w:b/>
          <w:u w:val="single"/>
        </w:rPr>
      </w:pPr>
    </w:p>
    <w:p w:rsidR="0080344B" w:rsidRDefault="00A05E7E">
      <w:pPr>
        <w:widowControl/>
        <w:suppressAutoHyphens w:val="0"/>
        <w:spacing w:after="0" w:line="288" w:lineRule="auto"/>
        <w:jc w:val="both"/>
        <w:textAlignment w:val="auto"/>
      </w:pPr>
      <w:r>
        <w:rPr>
          <w:rFonts w:ascii="Calibri" w:eastAsia="Times New Roman" w:hAnsi="Calibri" w:cs="Tahoma"/>
          <w:kern w:val="0"/>
          <w:lang w:eastAsia="hr-HR" w:bidi="ar-SA"/>
        </w:rPr>
        <w:t>Po izvršenoj analizi knjigovodstveno evidentiranog stanja imovine i obveza,  prijavljenih tra</w:t>
      </w:r>
      <w:r>
        <w:rPr>
          <w:rFonts w:ascii="Calibri" w:eastAsia="Times New Roman" w:hAnsi="Calibri" w:cs="Tahoma"/>
          <w:kern w:val="0"/>
          <w:lang w:eastAsia="hr-HR" w:bidi="ar-SA"/>
        </w:rPr>
        <w:t>ž</w:t>
      </w:r>
      <w:r>
        <w:rPr>
          <w:rFonts w:ascii="Calibri" w:eastAsia="Times New Roman" w:hAnsi="Calibri" w:cs="Tahoma"/>
          <w:kern w:val="0"/>
          <w:lang w:eastAsia="hr-HR" w:bidi="ar-SA"/>
        </w:rPr>
        <w:t>bina vjerovnika stečajnog dužnika, izvršene procjene mogućnosti naplate potraživanja, izr</w:t>
      </w:r>
      <w:r>
        <w:rPr>
          <w:rFonts w:ascii="Calibri" w:eastAsia="Times New Roman" w:hAnsi="Calibri" w:cs="Tahoma"/>
          <w:kern w:val="0"/>
          <w:lang w:eastAsia="hr-HR" w:bidi="ar-SA"/>
        </w:rPr>
        <w:t>a</w:t>
      </w:r>
      <w:r>
        <w:rPr>
          <w:rFonts w:ascii="Calibri" w:eastAsia="Times New Roman" w:hAnsi="Calibri" w:cs="Tahoma"/>
          <w:kern w:val="0"/>
          <w:lang w:eastAsia="hr-HR" w:bidi="ar-SA"/>
        </w:rPr>
        <w:t xml:space="preserve">đena je sukladno </w:t>
      </w:r>
      <w:r>
        <w:rPr>
          <w:rFonts w:ascii="Calibri" w:eastAsia="Times New Roman" w:hAnsi="Calibri" w:cs="Tahoma"/>
          <w:kern w:val="0"/>
          <w:lang w:eastAsia="hr-HR" w:bidi="ar-SA"/>
        </w:rPr>
        <w:t>članku 227. Stečajnog zakona početna stečajna bilanca, kako slijedi u tablici 1.</w:t>
      </w:r>
    </w:p>
    <w:p w:rsidR="0080344B" w:rsidRDefault="0080344B">
      <w:pPr>
        <w:widowControl/>
        <w:suppressAutoHyphens w:val="0"/>
        <w:spacing w:after="0" w:line="288" w:lineRule="auto"/>
        <w:jc w:val="both"/>
        <w:textAlignment w:val="auto"/>
        <w:rPr>
          <w:rFonts w:ascii="Calibri" w:eastAsia="Times New Roman" w:hAnsi="Calibri" w:cs="Tahoma"/>
          <w:b/>
          <w:i/>
          <w:kern w:val="0"/>
          <w:lang w:eastAsia="hr-HR" w:bidi="ar-SA"/>
        </w:rPr>
      </w:pPr>
    </w:p>
    <w:p w:rsidR="0080344B" w:rsidRDefault="00A05E7E">
      <w:pPr>
        <w:widowControl/>
        <w:suppressAutoHyphens w:val="0"/>
        <w:spacing w:after="0" w:line="288" w:lineRule="auto"/>
        <w:jc w:val="both"/>
        <w:textAlignment w:val="auto"/>
        <w:rPr>
          <w:rFonts w:ascii="Calibri" w:eastAsia="Times New Roman" w:hAnsi="Calibri" w:cs="Tahoma"/>
          <w:b/>
          <w:i/>
          <w:kern w:val="0"/>
          <w:lang w:eastAsia="hr-HR" w:bidi="ar-SA"/>
        </w:rPr>
      </w:pPr>
      <w:r>
        <w:rPr>
          <w:rFonts w:ascii="Calibri" w:eastAsia="Times New Roman" w:hAnsi="Calibri" w:cs="Tahoma"/>
          <w:b/>
          <w:i/>
          <w:kern w:val="0"/>
          <w:lang w:eastAsia="hr-HR" w:bidi="ar-SA"/>
        </w:rPr>
        <w:t>Tablica 1.</w:t>
      </w:r>
    </w:p>
    <w:tbl>
      <w:tblPr>
        <w:tblW w:w="11114" w:type="dxa"/>
        <w:jc w:val="center"/>
        <w:tblLayout w:type="fixed"/>
        <w:tblCellMar>
          <w:left w:w="10" w:type="dxa"/>
          <w:right w:w="10" w:type="dxa"/>
        </w:tblCellMar>
        <w:tblLook w:val="0000" w:firstRow="0" w:lastRow="0" w:firstColumn="0" w:lastColumn="0" w:noHBand="0" w:noVBand="0"/>
      </w:tblPr>
      <w:tblGrid>
        <w:gridCol w:w="567"/>
        <w:gridCol w:w="5417"/>
        <w:gridCol w:w="2409"/>
        <w:gridCol w:w="2721"/>
      </w:tblGrid>
      <w:tr w:rsidR="0080344B">
        <w:tblPrEx>
          <w:tblCellMar>
            <w:top w:w="0" w:type="dxa"/>
            <w:bottom w:w="0" w:type="dxa"/>
          </w:tblCellMar>
        </w:tblPrEx>
        <w:trPr>
          <w:trHeight w:val="1426"/>
          <w:jc w:val="center"/>
        </w:trPr>
        <w:tc>
          <w:tcPr>
            <w:tcW w:w="567" w:type="dxa"/>
            <w:tcBorders>
              <w:top w:val="double" w:sz="6" w:space="0" w:color="000000"/>
              <w:left w:val="double" w:sz="6" w:space="0" w:color="000000"/>
              <w:bottom w:val="single" w:sz="6" w:space="0" w:color="000000"/>
              <w:right w:val="single" w:sz="6" w:space="0" w:color="000000"/>
            </w:tcBorders>
            <w:shd w:val="clear" w:color="auto" w:fill="E6E6E6"/>
            <w:tcMar>
              <w:top w:w="0" w:type="dxa"/>
              <w:left w:w="108" w:type="dxa"/>
              <w:bottom w:w="0" w:type="dxa"/>
              <w:right w:w="108" w:type="dxa"/>
            </w:tcMar>
          </w:tcPr>
          <w:p w:rsidR="0080344B" w:rsidRDefault="00A05E7E">
            <w:pPr>
              <w:widowControl/>
              <w:suppressAutoHyphens w:val="0"/>
              <w:spacing w:after="0" w:line="288" w:lineRule="auto"/>
              <w:jc w:val="center"/>
              <w:textAlignment w:val="auto"/>
              <w:rPr>
                <w:rFonts w:ascii="Calibri" w:eastAsia="Times New Roman" w:hAnsi="Calibri" w:cs="Tahoma"/>
                <w:b/>
                <w:kern w:val="0"/>
                <w:lang w:eastAsia="hr-HR" w:bidi="ar-SA"/>
              </w:rPr>
            </w:pPr>
            <w:r>
              <w:rPr>
                <w:rFonts w:ascii="Calibri" w:eastAsia="Times New Roman" w:hAnsi="Calibri" w:cs="Tahoma"/>
                <w:b/>
                <w:kern w:val="0"/>
                <w:lang w:eastAsia="hr-HR" w:bidi="ar-SA"/>
              </w:rPr>
              <w:t>R.</w:t>
            </w:r>
          </w:p>
          <w:p w:rsidR="0080344B" w:rsidRDefault="00A05E7E">
            <w:pPr>
              <w:widowControl/>
              <w:suppressAutoHyphens w:val="0"/>
              <w:spacing w:after="0" w:line="288" w:lineRule="auto"/>
              <w:jc w:val="center"/>
              <w:textAlignment w:val="auto"/>
            </w:pPr>
            <w:r>
              <w:rPr>
                <w:rFonts w:ascii="Calibri" w:eastAsia="Times New Roman" w:hAnsi="Calibri" w:cs="Tahoma"/>
                <w:b/>
                <w:kern w:val="0"/>
                <w:lang w:eastAsia="hr-HR" w:bidi="ar-SA"/>
              </w:rPr>
              <w:t>br.</w:t>
            </w:r>
          </w:p>
        </w:tc>
        <w:tc>
          <w:tcPr>
            <w:tcW w:w="5417" w:type="dxa"/>
            <w:tcBorders>
              <w:top w:val="double" w:sz="6" w:space="0" w:color="000000"/>
              <w:left w:val="single" w:sz="6" w:space="0" w:color="000000"/>
              <w:bottom w:val="single" w:sz="6" w:space="0" w:color="000000"/>
              <w:right w:val="single" w:sz="6" w:space="0" w:color="000000"/>
            </w:tcBorders>
            <w:shd w:val="clear" w:color="auto" w:fill="E6E6E6"/>
            <w:tcMar>
              <w:top w:w="0" w:type="dxa"/>
              <w:left w:w="108" w:type="dxa"/>
              <w:bottom w:w="0" w:type="dxa"/>
              <w:right w:w="108" w:type="dxa"/>
            </w:tcMar>
          </w:tcPr>
          <w:p w:rsidR="0080344B" w:rsidRDefault="00A05E7E">
            <w:pPr>
              <w:widowControl/>
              <w:suppressAutoHyphens w:val="0"/>
              <w:spacing w:after="0" w:line="288" w:lineRule="auto"/>
              <w:jc w:val="center"/>
              <w:textAlignment w:val="auto"/>
            </w:pPr>
            <w:r>
              <w:rPr>
                <w:rFonts w:ascii="Calibri" w:eastAsia="Times New Roman" w:hAnsi="Calibri" w:cs="Tahoma"/>
                <w:b/>
                <w:kern w:val="0"/>
                <w:lang w:eastAsia="hr-HR" w:bidi="ar-SA"/>
              </w:rPr>
              <w:t>Opis</w:t>
            </w:r>
          </w:p>
        </w:tc>
        <w:tc>
          <w:tcPr>
            <w:tcW w:w="2409" w:type="dxa"/>
            <w:tcBorders>
              <w:top w:val="double" w:sz="6" w:space="0" w:color="000000"/>
              <w:left w:val="single" w:sz="6" w:space="0" w:color="000000"/>
              <w:bottom w:val="single" w:sz="6" w:space="0" w:color="000000"/>
              <w:right w:val="single" w:sz="6" w:space="0" w:color="000000"/>
            </w:tcBorders>
            <w:shd w:val="clear" w:color="auto" w:fill="E6E6E6"/>
            <w:tcMar>
              <w:top w:w="0" w:type="dxa"/>
              <w:left w:w="108" w:type="dxa"/>
              <w:bottom w:w="0" w:type="dxa"/>
              <w:right w:w="108" w:type="dxa"/>
            </w:tcMar>
          </w:tcPr>
          <w:p w:rsidR="0080344B" w:rsidRDefault="00A05E7E">
            <w:pPr>
              <w:jc w:val="center"/>
            </w:pPr>
            <w:r>
              <w:rPr>
                <w:rFonts w:ascii="Calibri" w:hAnsi="Calibri" w:cs="Tahoma"/>
                <w:b/>
              </w:rPr>
              <w:t>Knjigovodstvena vrijednost po  Bilanci na dan 31.12.2013.</w:t>
            </w:r>
          </w:p>
        </w:tc>
        <w:tc>
          <w:tcPr>
            <w:tcW w:w="2721" w:type="dxa"/>
            <w:tcBorders>
              <w:top w:val="double" w:sz="6" w:space="0" w:color="000000"/>
              <w:left w:val="single" w:sz="6" w:space="0" w:color="000000"/>
              <w:bottom w:val="single" w:sz="6" w:space="0" w:color="000000"/>
              <w:right w:val="double" w:sz="6" w:space="0" w:color="000000"/>
            </w:tcBorders>
            <w:shd w:val="clear" w:color="auto" w:fill="E6E6E6"/>
            <w:tcMar>
              <w:top w:w="0" w:type="dxa"/>
              <w:left w:w="108" w:type="dxa"/>
              <w:bottom w:w="0" w:type="dxa"/>
              <w:right w:w="108" w:type="dxa"/>
            </w:tcMar>
          </w:tcPr>
          <w:p w:rsidR="0080344B" w:rsidRDefault="00A05E7E">
            <w:pPr>
              <w:jc w:val="center"/>
            </w:pPr>
            <w:r>
              <w:rPr>
                <w:rFonts w:ascii="Calibri" w:hAnsi="Calibri" w:cs="Tahoma"/>
                <w:b/>
              </w:rPr>
              <w:t>Knjigovodstvena vrijednost  na dan 14.07.2016. godine</w:t>
            </w:r>
          </w:p>
        </w:tc>
      </w:tr>
      <w:tr w:rsidR="0080344B">
        <w:tblPrEx>
          <w:tblCellMar>
            <w:top w:w="0" w:type="dxa"/>
            <w:bottom w:w="0" w:type="dxa"/>
          </w:tblCellMar>
        </w:tblPrEx>
        <w:trPr>
          <w:trHeight w:val="386"/>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1.</w:t>
            </w:r>
          </w:p>
        </w:tc>
        <w:tc>
          <w:tcPr>
            <w:tcW w:w="5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both"/>
              <w:textAlignment w:val="auto"/>
            </w:pPr>
            <w:r>
              <w:rPr>
                <w:rFonts w:ascii="Calibri" w:hAnsi="Calibri" w:cs="Tahoma"/>
              </w:rPr>
              <w:t xml:space="preserve">Nekretnine </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305.754,00</w:t>
            </w:r>
          </w:p>
        </w:tc>
        <w:tc>
          <w:tcPr>
            <w:tcW w:w="272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305.754,00</w:t>
            </w:r>
          </w:p>
        </w:tc>
      </w:tr>
      <w:tr w:rsidR="0080344B">
        <w:tblPrEx>
          <w:tblCellMar>
            <w:top w:w="0" w:type="dxa"/>
            <w:bottom w:w="0" w:type="dxa"/>
          </w:tblCellMar>
        </w:tblPrEx>
        <w:trPr>
          <w:trHeight w:val="386"/>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2.</w:t>
            </w:r>
          </w:p>
        </w:tc>
        <w:tc>
          <w:tcPr>
            <w:tcW w:w="5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both"/>
              <w:textAlignment w:val="auto"/>
              <w:rPr>
                <w:rFonts w:ascii="Calibri" w:hAnsi="Calibri" w:cs="Tahoma"/>
              </w:rPr>
            </w:pPr>
            <w:r>
              <w:rPr>
                <w:rFonts w:ascii="Calibri" w:hAnsi="Calibri" w:cs="Tahoma"/>
              </w:rPr>
              <w:t>Pokretnine</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2.046,00</w:t>
            </w:r>
          </w:p>
        </w:tc>
        <w:tc>
          <w:tcPr>
            <w:tcW w:w="272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0,00</w:t>
            </w:r>
          </w:p>
        </w:tc>
      </w:tr>
      <w:tr w:rsidR="0080344B">
        <w:tblPrEx>
          <w:tblCellMar>
            <w:top w:w="0" w:type="dxa"/>
            <w:bottom w:w="0" w:type="dxa"/>
          </w:tblCellMar>
        </w:tblPrEx>
        <w:trPr>
          <w:trHeight w:val="386"/>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3.</w:t>
            </w:r>
          </w:p>
        </w:tc>
        <w:tc>
          <w:tcPr>
            <w:tcW w:w="5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both"/>
              <w:textAlignment w:val="auto"/>
              <w:rPr>
                <w:rFonts w:ascii="Calibri" w:hAnsi="Calibri" w:cs="Tahoma"/>
              </w:rPr>
            </w:pPr>
            <w:r>
              <w:rPr>
                <w:rFonts w:ascii="Calibri" w:hAnsi="Calibri" w:cs="Tahoma"/>
              </w:rPr>
              <w:t>Zalihe</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8.000,00</w:t>
            </w:r>
          </w:p>
        </w:tc>
        <w:tc>
          <w:tcPr>
            <w:tcW w:w="272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0,00</w:t>
            </w:r>
          </w:p>
        </w:tc>
      </w:tr>
      <w:tr w:rsidR="0080344B">
        <w:tblPrEx>
          <w:tblCellMar>
            <w:top w:w="0" w:type="dxa"/>
            <w:bottom w:w="0" w:type="dxa"/>
          </w:tblCellMar>
        </w:tblPrEx>
        <w:trPr>
          <w:trHeight w:val="386"/>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4.</w:t>
            </w:r>
          </w:p>
        </w:tc>
        <w:tc>
          <w:tcPr>
            <w:tcW w:w="5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both"/>
              <w:textAlignment w:val="auto"/>
            </w:pPr>
            <w:r>
              <w:rPr>
                <w:rFonts w:ascii="Calibri" w:hAnsi="Calibri" w:cs="Tahoma"/>
              </w:rPr>
              <w:t>Potraživanja od kupaca</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33.600,00</w:t>
            </w:r>
          </w:p>
        </w:tc>
        <w:tc>
          <w:tcPr>
            <w:tcW w:w="272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0,00</w:t>
            </w:r>
          </w:p>
        </w:tc>
      </w:tr>
      <w:tr w:rsidR="0080344B">
        <w:tblPrEx>
          <w:tblCellMar>
            <w:top w:w="0" w:type="dxa"/>
            <w:bottom w:w="0" w:type="dxa"/>
          </w:tblCellMar>
        </w:tblPrEx>
        <w:trPr>
          <w:trHeight w:val="386"/>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5.</w:t>
            </w:r>
          </w:p>
        </w:tc>
        <w:tc>
          <w:tcPr>
            <w:tcW w:w="5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both"/>
              <w:textAlignment w:val="auto"/>
              <w:rPr>
                <w:rFonts w:ascii="Calibri" w:hAnsi="Calibri" w:cs="Tahoma"/>
              </w:rPr>
            </w:pPr>
            <w:r>
              <w:rPr>
                <w:rFonts w:ascii="Calibri" w:hAnsi="Calibri" w:cs="Tahoma"/>
              </w:rPr>
              <w:t>Ostala potraživanja</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11.200,00</w:t>
            </w:r>
          </w:p>
        </w:tc>
        <w:tc>
          <w:tcPr>
            <w:tcW w:w="272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0,00</w:t>
            </w:r>
          </w:p>
        </w:tc>
      </w:tr>
      <w:tr w:rsidR="0080344B">
        <w:tblPrEx>
          <w:tblCellMar>
            <w:top w:w="0" w:type="dxa"/>
            <w:bottom w:w="0" w:type="dxa"/>
          </w:tblCellMar>
        </w:tblPrEx>
        <w:trPr>
          <w:trHeight w:val="386"/>
          <w:jc w:val="center"/>
        </w:trPr>
        <w:tc>
          <w:tcPr>
            <w:tcW w:w="567" w:type="dxa"/>
            <w:tcBorders>
              <w:top w:val="single" w:sz="6" w:space="0" w:color="000000"/>
              <w:left w:val="doub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b/>
                <w:kern w:val="0"/>
                <w:lang w:eastAsia="hr-HR" w:bidi="ar-SA"/>
              </w:rPr>
            </w:pPr>
            <w:r>
              <w:rPr>
                <w:rFonts w:ascii="Calibri" w:eastAsia="Times New Roman" w:hAnsi="Calibri" w:cs="Tahoma"/>
                <w:b/>
                <w:kern w:val="0"/>
                <w:lang w:eastAsia="hr-HR" w:bidi="ar-SA"/>
              </w:rPr>
              <w:t>A)</w:t>
            </w:r>
          </w:p>
        </w:tc>
        <w:tc>
          <w:tcPr>
            <w:tcW w:w="5417"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80344B" w:rsidRDefault="00A05E7E">
            <w:pPr>
              <w:widowControl/>
              <w:suppressAutoHyphens w:val="0"/>
              <w:spacing w:after="0" w:line="288" w:lineRule="auto"/>
              <w:jc w:val="both"/>
              <w:textAlignment w:val="auto"/>
            </w:pPr>
            <w:r>
              <w:rPr>
                <w:rFonts w:ascii="Calibri" w:eastAsia="Times New Roman" w:hAnsi="Calibri" w:cs="Tahoma"/>
                <w:b/>
                <w:kern w:val="0"/>
                <w:lang w:eastAsia="hr-HR" w:bidi="ar-SA"/>
              </w:rPr>
              <w:t>IMOVINA (r.br. 1+2+3+4+5)</w:t>
            </w:r>
          </w:p>
        </w:tc>
        <w:tc>
          <w:tcPr>
            <w:tcW w:w="2409"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hAnsi="Calibri" w:cs="Tahoma"/>
                <w:b/>
              </w:rPr>
            </w:pPr>
            <w:r>
              <w:rPr>
                <w:rFonts w:ascii="Calibri" w:hAnsi="Calibri" w:cs="Tahoma"/>
                <w:b/>
              </w:rPr>
              <w:t>360.600,00</w:t>
            </w:r>
          </w:p>
        </w:tc>
        <w:tc>
          <w:tcPr>
            <w:tcW w:w="2721" w:type="dxa"/>
            <w:tcBorders>
              <w:top w:val="sing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hAnsi="Calibri" w:cs="Tahoma"/>
                <w:b/>
              </w:rPr>
            </w:pPr>
            <w:r>
              <w:rPr>
                <w:rFonts w:ascii="Calibri" w:hAnsi="Calibri" w:cs="Tahoma"/>
                <w:b/>
              </w:rPr>
              <w:t>305.754,00</w:t>
            </w:r>
          </w:p>
        </w:tc>
      </w:tr>
      <w:tr w:rsidR="0080344B">
        <w:tblPrEx>
          <w:tblCellMar>
            <w:top w:w="0" w:type="dxa"/>
            <w:bottom w:w="0" w:type="dxa"/>
          </w:tblCellMar>
        </w:tblPrEx>
        <w:trPr>
          <w:trHeight w:val="353"/>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1.</w:t>
            </w:r>
          </w:p>
        </w:tc>
        <w:tc>
          <w:tcPr>
            <w:tcW w:w="5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both"/>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Obveze prema dobavljačima i ostale kratkoročne obveze</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80344B">
            <w:pPr>
              <w:widowControl/>
              <w:suppressAutoHyphens w:val="0"/>
              <w:spacing w:after="0" w:line="288" w:lineRule="auto"/>
              <w:jc w:val="right"/>
              <w:textAlignment w:val="auto"/>
              <w:rPr>
                <w:rFonts w:ascii="Calibri" w:eastAsia="Times New Roman" w:hAnsi="Calibri" w:cs="Tahoma"/>
                <w:kern w:val="0"/>
                <w:lang w:eastAsia="hr-HR" w:bidi="ar-SA"/>
              </w:rPr>
            </w:pPr>
          </w:p>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664.900,00</w:t>
            </w:r>
          </w:p>
        </w:tc>
        <w:tc>
          <w:tcPr>
            <w:tcW w:w="272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0344B" w:rsidRDefault="0080344B">
            <w:pPr>
              <w:widowControl/>
              <w:suppressAutoHyphens w:val="0"/>
              <w:spacing w:after="0" w:line="288" w:lineRule="auto"/>
              <w:jc w:val="right"/>
              <w:textAlignment w:val="auto"/>
              <w:rPr>
                <w:rFonts w:ascii="Calibri" w:eastAsia="Times New Roman" w:hAnsi="Calibri" w:cs="Tahoma"/>
                <w:kern w:val="0"/>
                <w:lang w:eastAsia="hr-HR" w:bidi="ar-SA"/>
              </w:rPr>
            </w:pPr>
          </w:p>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5.010,03</w:t>
            </w:r>
          </w:p>
        </w:tc>
      </w:tr>
      <w:tr w:rsidR="0080344B">
        <w:tblPrEx>
          <w:tblCellMar>
            <w:top w:w="0" w:type="dxa"/>
            <w:bottom w:w="0" w:type="dxa"/>
          </w:tblCellMar>
        </w:tblPrEx>
        <w:trPr>
          <w:trHeight w:val="416"/>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2.</w:t>
            </w:r>
          </w:p>
        </w:tc>
        <w:tc>
          <w:tcPr>
            <w:tcW w:w="5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both"/>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Obveze za pozajmice i kredite</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260.100,00</w:t>
            </w:r>
          </w:p>
        </w:tc>
        <w:tc>
          <w:tcPr>
            <w:tcW w:w="272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136.552,78</w:t>
            </w:r>
          </w:p>
        </w:tc>
      </w:tr>
      <w:tr w:rsidR="0080344B">
        <w:tblPrEx>
          <w:tblCellMar>
            <w:top w:w="0" w:type="dxa"/>
            <w:bottom w:w="0" w:type="dxa"/>
          </w:tblCellMar>
        </w:tblPrEx>
        <w:trPr>
          <w:trHeight w:val="36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3.</w:t>
            </w:r>
          </w:p>
        </w:tc>
        <w:tc>
          <w:tcPr>
            <w:tcW w:w="5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both"/>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Obveze za poreze i doprinose</w:t>
            </w:r>
          </w:p>
        </w:tc>
        <w:tc>
          <w:tcPr>
            <w:tcW w:w="24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0,00</w:t>
            </w:r>
          </w:p>
        </w:tc>
        <w:tc>
          <w:tcPr>
            <w:tcW w:w="272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kern w:val="0"/>
                <w:lang w:eastAsia="hr-HR" w:bidi="ar-SA"/>
              </w:rPr>
            </w:pPr>
            <w:r>
              <w:rPr>
                <w:rFonts w:ascii="Calibri" w:eastAsia="Times New Roman" w:hAnsi="Calibri" w:cs="Tahoma"/>
                <w:kern w:val="0"/>
                <w:lang w:eastAsia="hr-HR" w:bidi="ar-SA"/>
              </w:rPr>
              <w:t>69.945,25</w:t>
            </w:r>
          </w:p>
        </w:tc>
      </w:tr>
      <w:tr w:rsidR="0080344B">
        <w:tblPrEx>
          <w:tblCellMar>
            <w:top w:w="0" w:type="dxa"/>
            <w:bottom w:w="0" w:type="dxa"/>
          </w:tblCellMar>
        </w:tblPrEx>
        <w:trPr>
          <w:trHeight w:val="398"/>
          <w:jc w:val="center"/>
        </w:trPr>
        <w:tc>
          <w:tcPr>
            <w:tcW w:w="567" w:type="dxa"/>
            <w:tcBorders>
              <w:top w:val="single" w:sz="6" w:space="0" w:color="000000"/>
              <w:left w:val="double" w:sz="6" w:space="0" w:color="000000"/>
              <w:bottom w:val="double" w:sz="6" w:space="0" w:color="000000"/>
              <w:right w:val="single" w:sz="6" w:space="0" w:color="000000"/>
            </w:tcBorders>
            <w:shd w:val="clear" w:color="auto" w:fill="E6E6E6"/>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eastAsia="Times New Roman" w:hAnsi="Calibri" w:cs="Tahoma"/>
                <w:b/>
                <w:kern w:val="0"/>
                <w:lang w:eastAsia="hr-HR" w:bidi="ar-SA"/>
              </w:rPr>
            </w:pPr>
            <w:r>
              <w:rPr>
                <w:rFonts w:ascii="Calibri" w:eastAsia="Times New Roman" w:hAnsi="Calibri" w:cs="Tahoma"/>
                <w:b/>
                <w:kern w:val="0"/>
                <w:lang w:eastAsia="hr-HR" w:bidi="ar-SA"/>
              </w:rPr>
              <w:t>B)</w:t>
            </w:r>
          </w:p>
        </w:tc>
        <w:tc>
          <w:tcPr>
            <w:tcW w:w="5417" w:type="dxa"/>
            <w:tcBorders>
              <w:top w:val="single" w:sz="6" w:space="0" w:color="000000"/>
              <w:left w:val="single" w:sz="6" w:space="0" w:color="000000"/>
              <w:bottom w:val="double" w:sz="6" w:space="0" w:color="000000"/>
              <w:right w:val="single" w:sz="6" w:space="0" w:color="000000"/>
            </w:tcBorders>
            <w:shd w:val="clear" w:color="auto" w:fill="E6E6E6"/>
            <w:tcMar>
              <w:top w:w="0" w:type="dxa"/>
              <w:left w:w="108" w:type="dxa"/>
              <w:bottom w:w="0" w:type="dxa"/>
              <w:right w:w="108" w:type="dxa"/>
            </w:tcMar>
          </w:tcPr>
          <w:p w:rsidR="0080344B" w:rsidRDefault="00A05E7E">
            <w:pPr>
              <w:widowControl/>
              <w:suppressAutoHyphens w:val="0"/>
              <w:spacing w:after="0" w:line="288" w:lineRule="auto"/>
              <w:jc w:val="both"/>
              <w:textAlignment w:val="auto"/>
            </w:pPr>
            <w:r>
              <w:rPr>
                <w:rFonts w:ascii="Calibri" w:eastAsia="Times New Roman" w:hAnsi="Calibri" w:cs="Tahoma"/>
                <w:b/>
                <w:kern w:val="0"/>
                <w:lang w:eastAsia="hr-HR" w:bidi="ar-SA"/>
              </w:rPr>
              <w:t>OBVEZE (r.br.1+2+3)</w:t>
            </w:r>
          </w:p>
        </w:tc>
        <w:tc>
          <w:tcPr>
            <w:tcW w:w="2409" w:type="dxa"/>
            <w:tcBorders>
              <w:top w:val="single" w:sz="6" w:space="0" w:color="000000"/>
              <w:left w:val="single" w:sz="6" w:space="0" w:color="000000"/>
              <w:bottom w:val="double" w:sz="6" w:space="0" w:color="000000"/>
              <w:right w:val="single" w:sz="6" w:space="0" w:color="000000"/>
            </w:tcBorders>
            <w:shd w:val="clear" w:color="auto" w:fill="E6E6E6"/>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hAnsi="Calibri" w:cs="Tahoma"/>
                <w:b/>
              </w:rPr>
            </w:pPr>
            <w:r>
              <w:rPr>
                <w:rFonts w:ascii="Calibri" w:hAnsi="Calibri" w:cs="Tahoma"/>
                <w:b/>
              </w:rPr>
              <w:t>925.000,00</w:t>
            </w:r>
          </w:p>
        </w:tc>
        <w:tc>
          <w:tcPr>
            <w:tcW w:w="2721" w:type="dxa"/>
            <w:tcBorders>
              <w:top w:val="single" w:sz="6" w:space="0" w:color="000000"/>
              <w:left w:val="single" w:sz="6" w:space="0" w:color="000000"/>
              <w:bottom w:val="double" w:sz="6" w:space="0" w:color="000000"/>
              <w:right w:val="double" w:sz="6" w:space="0" w:color="000000"/>
            </w:tcBorders>
            <w:shd w:val="clear" w:color="auto" w:fill="E6E6E6"/>
            <w:tcMar>
              <w:top w:w="0" w:type="dxa"/>
              <w:left w:w="108" w:type="dxa"/>
              <w:bottom w:w="0" w:type="dxa"/>
              <w:right w:w="108" w:type="dxa"/>
            </w:tcMar>
          </w:tcPr>
          <w:p w:rsidR="0080344B" w:rsidRDefault="00A05E7E">
            <w:pPr>
              <w:widowControl/>
              <w:suppressAutoHyphens w:val="0"/>
              <w:spacing w:after="0" w:line="288" w:lineRule="auto"/>
              <w:jc w:val="right"/>
              <w:textAlignment w:val="auto"/>
              <w:rPr>
                <w:rFonts w:ascii="Calibri" w:hAnsi="Calibri" w:cs="Tahoma"/>
                <w:b/>
              </w:rPr>
            </w:pPr>
            <w:r>
              <w:rPr>
                <w:rFonts w:ascii="Calibri" w:hAnsi="Calibri" w:cs="Tahoma"/>
                <w:b/>
              </w:rPr>
              <w:t>211.508,06</w:t>
            </w:r>
          </w:p>
        </w:tc>
      </w:tr>
    </w:tbl>
    <w:p w:rsidR="0080344B" w:rsidRDefault="0080344B">
      <w:pPr>
        <w:pStyle w:val="Standard"/>
        <w:spacing w:after="0" w:line="288" w:lineRule="auto"/>
        <w:jc w:val="both"/>
        <w:rPr>
          <w:rFonts w:ascii="Calibri" w:hAnsi="Calibri" w:cs="Tahoma"/>
        </w:rPr>
      </w:pPr>
    </w:p>
    <w:p w:rsidR="0080344B" w:rsidRDefault="0080344B">
      <w:pPr>
        <w:pStyle w:val="Standard"/>
        <w:spacing w:after="0" w:line="288" w:lineRule="auto"/>
        <w:jc w:val="both"/>
        <w:rPr>
          <w:rFonts w:ascii="Calibri" w:hAnsi="Calibri" w:cs="Tahoma"/>
        </w:rPr>
      </w:pPr>
    </w:p>
    <w:p w:rsidR="0080344B" w:rsidRDefault="00A05E7E">
      <w:pPr>
        <w:pStyle w:val="Standard"/>
        <w:spacing w:after="0" w:line="288" w:lineRule="auto"/>
        <w:jc w:val="both"/>
      </w:pPr>
      <w:r>
        <w:rPr>
          <w:rFonts w:ascii="Calibri" w:hAnsi="Calibri" w:cs="Tahoma"/>
        </w:rPr>
        <w:t>Kako iz tablice 1. proizlazi, imovina stečajnog dužnika sa danom otvaranja stečajnog postupka</w:t>
      </w:r>
      <w:r>
        <w:rPr>
          <w:rFonts w:ascii="Calibri" w:hAnsi="Calibri" w:cs="Tahoma"/>
        </w:rPr>
        <w:t xml:space="preserve"> iznosi </w:t>
      </w:r>
      <w:r>
        <w:rPr>
          <w:rFonts w:ascii="Calibri" w:hAnsi="Calibri" w:cs="Tahoma"/>
          <w:b/>
        </w:rPr>
        <w:t>305.754,00 kn</w:t>
      </w:r>
      <w:r>
        <w:rPr>
          <w:rFonts w:ascii="Calibri" w:hAnsi="Calibri" w:cs="Tahoma"/>
        </w:rPr>
        <w:t xml:space="preserve">, dok obveze stečajnog dužnika temeljem prijavljenih  tražbina stečajnih vjerovnika  iznose  </w:t>
      </w:r>
      <w:r>
        <w:rPr>
          <w:rFonts w:ascii="Calibri" w:hAnsi="Calibri" w:cs="Tahoma"/>
          <w:b/>
        </w:rPr>
        <w:t>211.508,06  kn</w:t>
      </w:r>
      <w:r>
        <w:rPr>
          <w:rFonts w:ascii="Calibri" w:hAnsi="Calibri" w:cs="Tahoma"/>
        </w:rPr>
        <w:t>.</w:t>
      </w:r>
    </w:p>
    <w:p w:rsidR="0080344B" w:rsidRDefault="0080344B">
      <w:pPr>
        <w:pStyle w:val="Standard"/>
        <w:spacing w:after="0" w:line="288" w:lineRule="auto"/>
        <w:jc w:val="both"/>
        <w:rPr>
          <w:rFonts w:ascii="Calibri" w:hAnsi="Calibri" w:cs="Tahoma"/>
        </w:rPr>
      </w:pPr>
    </w:p>
    <w:p w:rsidR="0080344B" w:rsidRDefault="0080344B">
      <w:pPr>
        <w:pStyle w:val="Standard"/>
        <w:spacing w:after="0" w:line="288" w:lineRule="auto"/>
        <w:jc w:val="both"/>
        <w:rPr>
          <w:rFonts w:ascii="Calibri" w:hAnsi="Calibri" w:cs="Tahoma"/>
        </w:rPr>
      </w:pPr>
    </w:p>
    <w:p w:rsidR="0080344B" w:rsidRDefault="0080344B">
      <w:pPr>
        <w:pStyle w:val="Standard"/>
        <w:spacing w:after="0" w:line="288" w:lineRule="auto"/>
        <w:jc w:val="both"/>
        <w:rPr>
          <w:rFonts w:ascii="Calibri" w:hAnsi="Calibri" w:cs="Tahoma"/>
        </w:rPr>
      </w:pPr>
    </w:p>
    <w:p w:rsidR="0080344B" w:rsidRDefault="00A05E7E">
      <w:pPr>
        <w:pStyle w:val="Standard"/>
        <w:spacing w:after="0" w:line="288" w:lineRule="auto"/>
        <w:jc w:val="both"/>
      </w:pPr>
      <w:r>
        <w:rPr>
          <w:rFonts w:ascii="Calibri" w:hAnsi="Calibri" w:cs="Tahoma"/>
          <w:b/>
        </w:rPr>
        <w:lastRenderedPageBreak/>
        <w:t xml:space="preserve">A) IMOVINA </w:t>
      </w:r>
    </w:p>
    <w:p w:rsidR="0080344B" w:rsidRDefault="00A05E7E">
      <w:pPr>
        <w:pStyle w:val="Standard"/>
        <w:jc w:val="both"/>
      </w:pPr>
      <w:r>
        <w:rPr>
          <w:rFonts w:ascii="Calibri" w:hAnsi="Calibri" w:cs="Tahoma"/>
        </w:rPr>
        <w:t xml:space="preserve">Imovina stečajnog dužnika sastoji se od nekretnina  ukupne knjigovodstvene vrijednosti od </w:t>
      </w:r>
      <w:r>
        <w:rPr>
          <w:rFonts w:ascii="Calibri" w:hAnsi="Calibri" w:cs="Tahoma"/>
          <w:b/>
        </w:rPr>
        <w:t xml:space="preserve">305.754,00 kn </w:t>
      </w:r>
      <w:r>
        <w:rPr>
          <w:rFonts w:ascii="Calibri" w:hAnsi="Calibri" w:cs="Tahoma"/>
        </w:rPr>
        <w:t xml:space="preserve">, a </w:t>
      </w:r>
      <w:r>
        <w:rPr>
          <w:rFonts w:ascii="Calibri" w:hAnsi="Calibri" w:cs="Tahoma"/>
        </w:rPr>
        <w:t>kako slijedi u nastavku.</w:t>
      </w:r>
    </w:p>
    <w:p w:rsidR="0080344B" w:rsidRDefault="00A05E7E">
      <w:pPr>
        <w:pStyle w:val="Odlomakpopisa"/>
        <w:numPr>
          <w:ilvl w:val="0"/>
          <w:numId w:val="30"/>
        </w:numPr>
        <w:spacing w:after="0" w:line="288" w:lineRule="auto"/>
        <w:jc w:val="both"/>
      </w:pPr>
      <w:r>
        <w:rPr>
          <w:rFonts w:ascii="Calibri" w:hAnsi="Calibri" w:cs="Calibri"/>
          <w:b/>
          <w:i/>
        </w:rPr>
        <w:t>Nekretnine</w:t>
      </w:r>
    </w:p>
    <w:p w:rsidR="0080344B" w:rsidRDefault="00A05E7E">
      <w:pPr>
        <w:spacing w:after="0" w:line="288" w:lineRule="auto"/>
        <w:jc w:val="both"/>
        <w:rPr>
          <w:rFonts w:ascii="Calibri" w:hAnsi="Calibri" w:cs="Tahoma"/>
        </w:rPr>
      </w:pPr>
      <w:r>
        <w:rPr>
          <w:rFonts w:ascii="Calibri" w:hAnsi="Calibri" w:cs="Tahoma"/>
        </w:rPr>
        <w:t>Vrijednost nekretnine evidentirana je u poslovnim evidencijama na dan 31.12.2013. godine u knjigovodstvenoj vrijednosti od 305.754,00 kn (nabavna vrijednost umanjena za obračun amortizacije tijekom godina), a radi se o :</w:t>
      </w:r>
    </w:p>
    <w:p w:rsidR="0080344B" w:rsidRDefault="00A05E7E">
      <w:pPr>
        <w:pStyle w:val="Odlomakpopisa"/>
        <w:numPr>
          <w:ilvl w:val="3"/>
          <w:numId w:val="30"/>
        </w:numPr>
        <w:spacing w:after="0" w:line="288" w:lineRule="auto"/>
        <w:jc w:val="both"/>
      </w:pPr>
      <w:r>
        <w:rPr>
          <w:rFonts w:ascii="Calibri" w:hAnsi="Calibri" w:cs="Tahoma"/>
        </w:rPr>
        <w:t xml:space="preserve">kuća upisana u ZK uložak 2643, </w:t>
      </w:r>
      <w:proofErr w:type="spellStart"/>
      <w:r>
        <w:rPr>
          <w:rFonts w:ascii="Calibri" w:hAnsi="Calibri" w:cs="Tahoma"/>
        </w:rPr>
        <w:t>kat.čestica</w:t>
      </w:r>
      <w:proofErr w:type="spellEnd"/>
      <w:r>
        <w:rPr>
          <w:rFonts w:ascii="Calibri" w:hAnsi="Calibri" w:cs="Tahoma"/>
        </w:rPr>
        <w:t xml:space="preserve"> 105/ZGR katastarska općina </w:t>
      </w:r>
      <w:proofErr w:type="spellStart"/>
      <w:r>
        <w:rPr>
          <w:rFonts w:ascii="Calibri" w:hAnsi="Calibri" w:cs="Tahoma"/>
        </w:rPr>
        <w:t>Pićan</w:t>
      </w:r>
      <w:proofErr w:type="spellEnd"/>
      <w:r>
        <w:rPr>
          <w:rFonts w:ascii="Calibri" w:hAnsi="Calibri" w:cs="Tahoma"/>
        </w:rPr>
        <w:t>, površine 19 m2</w:t>
      </w:r>
    </w:p>
    <w:p w:rsidR="0080344B" w:rsidRDefault="00A05E7E">
      <w:pPr>
        <w:pStyle w:val="Odlomakpopisa"/>
        <w:numPr>
          <w:ilvl w:val="3"/>
          <w:numId w:val="30"/>
        </w:numPr>
        <w:spacing w:after="0" w:line="288" w:lineRule="auto"/>
        <w:jc w:val="both"/>
        <w:rPr>
          <w:rFonts w:ascii="Calibri" w:hAnsi="Calibri" w:cs="Calibri"/>
        </w:rPr>
      </w:pPr>
      <w:r>
        <w:rPr>
          <w:rFonts w:ascii="Calibri" w:hAnsi="Calibri" w:cs="Calibri"/>
        </w:rPr>
        <w:t xml:space="preserve">štala upisana u ZK uložak 2643, </w:t>
      </w:r>
      <w:proofErr w:type="spellStart"/>
      <w:r>
        <w:rPr>
          <w:rFonts w:ascii="Calibri" w:hAnsi="Calibri" w:cs="Calibri"/>
        </w:rPr>
        <w:t>kat.čestica</w:t>
      </w:r>
      <w:proofErr w:type="spellEnd"/>
      <w:r>
        <w:rPr>
          <w:rFonts w:ascii="Calibri" w:hAnsi="Calibri" w:cs="Calibri"/>
        </w:rPr>
        <w:t xml:space="preserve"> 104/ZGR katastarska općina </w:t>
      </w:r>
      <w:proofErr w:type="spellStart"/>
      <w:r>
        <w:rPr>
          <w:rFonts w:ascii="Calibri" w:hAnsi="Calibri" w:cs="Calibri"/>
        </w:rPr>
        <w:t>Pićan</w:t>
      </w:r>
      <w:proofErr w:type="spellEnd"/>
      <w:r>
        <w:rPr>
          <w:rFonts w:ascii="Calibri" w:hAnsi="Calibri" w:cs="Calibri"/>
        </w:rPr>
        <w:t>, površine 38 m2</w:t>
      </w:r>
    </w:p>
    <w:p w:rsidR="0080344B" w:rsidRDefault="0080344B">
      <w:pPr>
        <w:spacing w:after="0" w:line="288" w:lineRule="auto"/>
        <w:jc w:val="both"/>
        <w:rPr>
          <w:rFonts w:ascii="Calibri" w:hAnsi="Calibri" w:cs="Calibri"/>
          <w:b/>
          <w:i/>
        </w:rPr>
      </w:pPr>
    </w:p>
    <w:p w:rsidR="0080344B" w:rsidRDefault="00A05E7E">
      <w:pPr>
        <w:spacing w:after="0" w:line="288" w:lineRule="auto"/>
        <w:jc w:val="both"/>
      </w:pPr>
      <w:r>
        <w:rPr>
          <w:rFonts w:ascii="Calibri" w:hAnsi="Calibri" w:cs="Calibri"/>
          <w:b/>
        </w:rPr>
        <w:t>Napomena</w:t>
      </w:r>
      <w:r>
        <w:rPr>
          <w:rFonts w:ascii="Calibri" w:hAnsi="Calibri" w:cs="Calibri"/>
          <w:b/>
          <w:i/>
        </w:rPr>
        <w:t xml:space="preserve">: </w:t>
      </w:r>
      <w:r>
        <w:rPr>
          <w:rFonts w:ascii="Calibri" w:hAnsi="Calibri" w:cs="Calibri"/>
        </w:rPr>
        <w:t>Za gore navedenu nekretninu dostavljena je obavijest o post</w:t>
      </w:r>
      <w:r>
        <w:rPr>
          <w:rFonts w:ascii="Calibri" w:hAnsi="Calibri" w:cs="Calibri"/>
        </w:rPr>
        <w:t xml:space="preserve">ojanju </w:t>
      </w:r>
      <w:proofErr w:type="spellStart"/>
      <w:r>
        <w:rPr>
          <w:rFonts w:ascii="Calibri" w:hAnsi="Calibri" w:cs="Calibri"/>
        </w:rPr>
        <w:t>razlučnog</w:t>
      </w:r>
      <w:proofErr w:type="spellEnd"/>
      <w:r>
        <w:rPr>
          <w:rFonts w:ascii="Calibri" w:hAnsi="Calibri" w:cs="Calibri"/>
        </w:rPr>
        <w:t xml:space="preserve"> prava u korist ZAGREBAČKE BANKE d.d., Zagreb, , te u korist RH, Ministarstvo financija, Porezna uprava, Područni ured Pazin .</w:t>
      </w:r>
    </w:p>
    <w:p w:rsidR="0080344B" w:rsidRDefault="00A05E7E">
      <w:pPr>
        <w:spacing w:after="0" w:line="288" w:lineRule="auto"/>
        <w:jc w:val="both"/>
        <w:rPr>
          <w:rFonts w:ascii="Calibri" w:hAnsi="Calibri" w:cs="Calibri"/>
        </w:rPr>
      </w:pPr>
      <w:r>
        <w:rPr>
          <w:rFonts w:ascii="Calibri" w:hAnsi="Calibri" w:cs="Calibri"/>
        </w:rPr>
        <w:t xml:space="preserve">Navedena nekretnina bila je predmet ovrhe u ovršnom predmetu ovrhovoditelja ZAGREBAČKA BANKA d.d., </w:t>
      </w:r>
      <w:proofErr w:type="spellStart"/>
      <w:r>
        <w:rPr>
          <w:rFonts w:ascii="Calibri" w:hAnsi="Calibri" w:cs="Calibri"/>
        </w:rPr>
        <w:t>Posl.broj</w:t>
      </w:r>
      <w:proofErr w:type="spellEnd"/>
      <w:r>
        <w:rPr>
          <w:rFonts w:ascii="Calibri" w:hAnsi="Calibri" w:cs="Calibri"/>
        </w:rPr>
        <w:t xml:space="preserve">: </w:t>
      </w:r>
      <w:proofErr w:type="spellStart"/>
      <w:r>
        <w:rPr>
          <w:rFonts w:ascii="Calibri" w:hAnsi="Calibri" w:cs="Calibri"/>
        </w:rPr>
        <w:t>Ovr</w:t>
      </w:r>
      <w:r>
        <w:rPr>
          <w:rFonts w:ascii="Calibri" w:hAnsi="Calibri" w:cs="Calibri"/>
        </w:rPr>
        <w:t>v</w:t>
      </w:r>
      <w:proofErr w:type="spellEnd"/>
      <w:r>
        <w:rPr>
          <w:rFonts w:ascii="Calibri" w:hAnsi="Calibri" w:cs="Calibri"/>
        </w:rPr>
        <w:t>-1914/15.</w:t>
      </w:r>
    </w:p>
    <w:p w:rsidR="0080344B" w:rsidRDefault="00A05E7E">
      <w:pPr>
        <w:spacing w:after="0" w:line="288" w:lineRule="auto"/>
        <w:jc w:val="both"/>
        <w:rPr>
          <w:rFonts w:ascii="Calibri" w:hAnsi="Calibri" w:cs="Calibri"/>
        </w:rPr>
      </w:pPr>
      <w:r>
        <w:rPr>
          <w:rFonts w:ascii="Calibri" w:hAnsi="Calibri" w:cs="Calibri"/>
        </w:rPr>
        <w:t xml:space="preserve">Za potrebe ovrhe izvršena je 20. svibnja 2015. godine procjena predmetne nekretnine od strane stalnog sudskog vještaka za graditeljstvo Ljubomira </w:t>
      </w:r>
      <w:proofErr w:type="spellStart"/>
      <w:r>
        <w:rPr>
          <w:rFonts w:ascii="Calibri" w:hAnsi="Calibri" w:cs="Calibri"/>
        </w:rPr>
        <w:t>Buršić</w:t>
      </w:r>
      <w:proofErr w:type="spellEnd"/>
      <w:r>
        <w:rPr>
          <w:rFonts w:ascii="Calibri" w:hAnsi="Calibri" w:cs="Calibri"/>
        </w:rPr>
        <w:t xml:space="preserve"> inž. </w:t>
      </w:r>
      <w:proofErr w:type="spellStart"/>
      <w:r>
        <w:rPr>
          <w:rFonts w:ascii="Calibri" w:hAnsi="Calibri" w:cs="Calibri"/>
        </w:rPr>
        <w:t>građ</w:t>
      </w:r>
      <w:proofErr w:type="spellEnd"/>
      <w:r>
        <w:rPr>
          <w:rFonts w:ascii="Calibri" w:hAnsi="Calibri" w:cs="Calibri"/>
        </w:rPr>
        <w:t>., te je utvrđena vrijednost nekretnine u iznosu od 471.730,20 kn.</w:t>
      </w:r>
    </w:p>
    <w:p w:rsidR="0080344B" w:rsidRDefault="00A05E7E">
      <w:pPr>
        <w:spacing w:after="0" w:line="288" w:lineRule="auto"/>
        <w:jc w:val="both"/>
        <w:rPr>
          <w:rFonts w:ascii="Calibri" w:hAnsi="Calibri" w:cs="Calibri"/>
        </w:rPr>
      </w:pPr>
      <w:r>
        <w:rPr>
          <w:rFonts w:ascii="Calibri" w:hAnsi="Calibri" w:cs="Calibri"/>
        </w:rPr>
        <w:t xml:space="preserve">S obzirom da su </w:t>
      </w:r>
      <w:r>
        <w:rPr>
          <w:rFonts w:ascii="Calibri" w:hAnsi="Calibri" w:cs="Calibri"/>
        </w:rPr>
        <w:t>održane dvije neuspješne javne dražbe, Općinski sud u Labinu dana 29. prosinca 2015. godine donosi rješenje kojim se obustavlja ovrha određena rješenjem o ovrsi te se ukidaju provedene ovršne radnje.</w:t>
      </w:r>
    </w:p>
    <w:p w:rsidR="0080344B" w:rsidRDefault="0080344B">
      <w:pPr>
        <w:spacing w:after="0" w:line="288" w:lineRule="auto"/>
        <w:jc w:val="both"/>
        <w:rPr>
          <w:rFonts w:ascii="Calibri" w:hAnsi="Calibri" w:cs="Calibri"/>
        </w:rPr>
      </w:pPr>
    </w:p>
    <w:p w:rsidR="0080344B" w:rsidRDefault="00A05E7E">
      <w:pPr>
        <w:spacing w:after="0" w:line="288" w:lineRule="auto"/>
        <w:jc w:val="both"/>
      </w:pPr>
      <w:r>
        <w:rPr>
          <w:rFonts w:ascii="Calibri" w:hAnsi="Calibri" w:cs="Calibri"/>
        </w:rPr>
        <w:t>Stečajni upravitelj izvršio je na licu mjesta uvid u st</w:t>
      </w:r>
      <w:r>
        <w:rPr>
          <w:rFonts w:ascii="Calibri" w:hAnsi="Calibri" w:cs="Calibri"/>
        </w:rPr>
        <w:t>anje navedene nekretnine, te utvrdio da se radi o djelomično rekonstruiranoj i adaptiranoj kamenoj zgradi čija tržišna vrijednost ne prelazi iznos knjigovodstvene vrijednosti iskazane u bilanci na dan 31.12.2013. godine, te je stoga utvrđena knjigovodstven</w:t>
      </w:r>
      <w:r>
        <w:rPr>
          <w:rFonts w:ascii="Calibri" w:hAnsi="Calibri" w:cs="Calibri"/>
        </w:rPr>
        <w:t>a vrijednost iskazana u početnoj stečajnoj bilanci prikazana u iznosu od 305.754,00 kn.</w:t>
      </w:r>
    </w:p>
    <w:p w:rsidR="0080344B" w:rsidRDefault="0080344B">
      <w:pPr>
        <w:spacing w:after="0" w:line="288" w:lineRule="auto"/>
        <w:jc w:val="both"/>
        <w:rPr>
          <w:rFonts w:ascii="Calibri" w:hAnsi="Calibri" w:cs="Calibri"/>
        </w:rPr>
      </w:pPr>
    </w:p>
    <w:p w:rsidR="0080344B" w:rsidRDefault="00A05E7E">
      <w:pPr>
        <w:spacing w:after="0" w:line="288" w:lineRule="auto"/>
        <w:jc w:val="both"/>
      </w:pPr>
      <w:r>
        <w:rPr>
          <w:rFonts w:ascii="Calibri" w:hAnsi="Calibri" w:cs="Calibri"/>
          <w:b/>
          <w:i/>
        </w:rPr>
        <w:t xml:space="preserve">Privitak 1: </w:t>
      </w:r>
      <w:r>
        <w:rPr>
          <w:rFonts w:ascii="Calibri" w:hAnsi="Calibri" w:cs="Calibri"/>
          <w:i/>
        </w:rPr>
        <w:t>Izvadak iz zemljišne knjige</w:t>
      </w:r>
    </w:p>
    <w:p w:rsidR="0080344B" w:rsidRDefault="0080344B">
      <w:pPr>
        <w:spacing w:after="0" w:line="288" w:lineRule="auto"/>
        <w:jc w:val="both"/>
        <w:rPr>
          <w:rFonts w:ascii="Calibri" w:hAnsi="Calibri" w:cs="Calibri"/>
          <w:b/>
          <w:i/>
          <w:u w:val="single"/>
        </w:rPr>
      </w:pPr>
    </w:p>
    <w:p w:rsidR="0080344B" w:rsidRDefault="00A05E7E">
      <w:pPr>
        <w:pStyle w:val="Standard"/>
        <w:numPr>
          <w:ilvl w:val="0"/>
          <w:numId w:val="30"/>
        </w:numPr>
        <w:spacing w:after="0" w:line="288" w:lineRule="auto"/>
        <w:jc w:val="both"/>
        <w:rPr>
          <w:rFonts w:ascii="Calibri" w:hAnsi="Calibri" w:cs="Tahoma"/>
          <w:b/>
          <w:i/>
        </w:rPr>
      </w:pPr>
      <w:r>
        <w:rPr>
          <w:rFonts w:ascii="Calibri" w:hAnsi="Calibri" w:cs="Tahoma"/>
          <w:b/>
          <w:i/>
        </w:rPr>
        <w:t>Pokretnine</w:t>
      </w:r>
    </w:p>
    <w:p w:rsidR="0080344B" w:rsidRDefault="00A05E7E">
      <w:pPr>
        <w:pStyle w:val="Standard"/>
        <w:spacing w:after="0" w:line="288" w:lineRule="auto"/>
        <w:jc w:val="both"/>
        <w:rPr>
          <w:rFonts w:ascii="Calibri" w:hAnsi="Calibri" w:cs="Tahoma"/>
        </w:rPr>
      </w:pPr>
      <w:r>
        <w:rPr>
          <w:rFonts w:ascii="Calibri" w:hAnsi="Calibri" w:cs="Tahoma"/>
        </w:rPr>
        <w:t>Vrijednost pokretnina evidentirana je u poslovnim evidencijama na dan 31.12.2013. godine u knjigovodstvenoj vrijedn</w:t>
      </w:r>
      <w:r>
        <w:rPr>
          <w:rFonts w:ascii="Calibri" w:hAnsi="Calibri" w:cs="Tahoma"/>
        </w:rPr>
        <w:t xml:space="preserve">osti od 2.046,00 kn, a radi se o bušilici, klima uređaju i bojleru, a knjigovodstvena vrijednost istih procijenjena je na 0,00 </w:t>
      </w:r>
      <w:proofErr w:type="spellStart"/>
      <w:r>
        <w:rPr>
          <w:rFonts w:ascii="Calibri" w:hAnsi="Calibri" w:cs="Tahoma"/>
        </w:rPr>
        <w:t>kn.</w:t>
      </w:r>
      <w:proofErr w:type="spellEnd"/>
      <w:r>
        <w:rPr>
          <w:rFonts w:ascii="Calibri" w:hAnsi="Calibri" w:cs="Tahoma"/>
        </w:rPr>
        <w:t>.</w:t>
      </w:r>
    </w:p>
    <w:p w:rsidR="0080344B" w:rsidRDefault="00A05E7E">
      <w:pPr>
        <w:pStyle w:val="Standard"/>
        <w:spacing w:after="0" w:line="288" w:lineRule="auto"/>
        <w:jc w:val="both"/>
      </w:pPr>
      <w:r>
        <w:rPr>
          <w:rFonts w:ascii="Calibri" w:hAnsi="Calibri" w:cs="Tahoma"/>
        </w:rPr>
        <w:t xml:space="preserve"> </w:t>
      </w:r>
    </w:p>
    <w:p w:rsidR="0080344B" w:rsidRDefault="0080344B">
      <w:pPr>
        <w:pStyle w:val="Standard"/>
        <w:spacing w:after="0" w:line="288" w:lineRule="auto"/>
        <w:jc w:val="both"/>
      </w:pPr>
    </w:p>
    <w:p w:rsidR="0080344B" w:rsidRDefault="0080344B">
      <w:pPr>
        <w:pStyle w:val="Standard"/>
        <w:spacing w:after="0" w:line="288" w:lineRule="auto"/>
        <w:ind w:left="75"/>
        <w:jc w:val="both"/>
        <w:rPr>
          <w:rFonts w:ascii="Calibri" w:hAnsi="Calibri" w:cs="Tahoma"/>
          <w:b/>
          <w:i/>
        </w:rPr>
      </w:pPr>
    </w:p>
    <w:p w:rsidR="0080344B" w:rsidRDefault="00A05E7E">
      <w:pPr>
        <w:pStyle w:val="Standard"/>
        <w:spacing w:after="0" w:line="288" w:lineRule="auto"/>
        <w:ind w:left="75"/>
        <w:jc w:val="both"/>
      </w:pPr>
      <w:r>
        <w:rPr>
          <w:rFonts w:ascii="Calibri" w:hAnsi="Calibri" w:cs="Tahoma"/>
          <w:b/>
          <w:i/>
        </w:rPr>
        <w:lastRenderedPageBreak/>
        <w:t>Napomena</w:t>
      </w:r>
      <w:r>
        <w:rPr>
          <w:rFonts w:ascii="Calibri" w:hAnsi="Calibri" w:cs="Tahoma"/>
          <w:i/>
        </w:rPr>
        <w:t xml:space="preserve">: </w:t>
      </w:r>
      <w:r>
        <w:rPr>
          <w:rFonts w:ascii="Calibri" w:hAnsi="Calibri" w:cs="Tahoma"/>
        </w:rPr>
        <w:t>RH, Ministarstvo financija, Porezna uprava uz prijavu tražbine u stečajnom postupku dostavila je i obavijest o</w:t>
      </w:r>
      <w:r>
        <w:rPr>
          <w:rFonts w:ascii="Calibri" w:hAnsi="Calibri" w:cs="Tahoma"/>
        </w:rPr>
        <w:t xml:space="preserve"> postojanju </w:t>
      </w:r>
      <w:proofErr w:type="spellStart"/>
      <w:r>
        <w:rPr>
          <w:rFonts w:ascii="Calibri" w:hAnsi="Calibri" w:cs="Tahoma"/>
        </w:rPr>
        <w:t>razlučnog</w:t>
      </w:r>
      <w:proofErr w:type="spellEnd"/>
      <w:r>
        <w:rPr>
          <w:rFonts w:ascii="Calibri" w:hAnsi="Calibri" w:cs="Tahoma"/>
        </w:rPr>
        <w:t xml:space="preserve"> prava temeljem Rješenja o ovrsi nad automobilom marke RENAULT TWINGO 1.2, </w:t>
      </w:r>
      <w:proofErr w:type="spellStart"/>
      <w:r>
        <w:rPr>
          <w:rFonts w:ascii="Calibri" w:hAnsi="Calibri" w:cs="Tahoma"/>
        </w:rPr>
        <w:t>god.proizvodnje</w:t>
      </w:r>
      <w:proofErr w:type="spellEnd"/>
      <w:r>
        <w:rPr>
          <w:rFonts w:ascii="Calibri" w:hAnsi="Calibri" w:cs="Tahoma"/>
        </w:rPr>
        <w:t xml:space="preserve"> 2002., broj šasije VF1C068A526693502, </w:t>
      </w:r>
      <w:proofErr w:type="spellStart"/>
      <w:r>
        <w:rPr>
          <w:rFonts w:ascii="Calibri" w:hAnsi="Calibri" w:cs="Tahoma"/>
        </w:rPr>
        <w:t>reg.oznaka</w:t>
      </w:r>
      <w:proofErr w:type="spellEnd"/>
      <w:r>
        <w:rPr>
          <w:rFonts w:ascii="Calibri" w:hAnsi="Calibri" w:cs="Tahoma"/>
        </w:rPr>
        <w:t xml:space="preserve"> PU-108-H.</w:t>
      </w:r>
    </w:p>
    <w:p w:rsidR="0080344B" w:rsidRDefault="0080344B">
      <w:pPr>
        <w:pStyle w:val="Standard"/>
        <w:spacing w:after="0" w:line="288" w:lineRule="auto"/>
        <w:ind w:left="75"/>
        <w:jc w:val="both"/>
      </w:pPr>
    </w:p>
    <w:p w:rsidR="0080344B" w:rsidRDefault="00A05E7E">
      <w:pPr>
        <w:pStyle w:val="Standard"/>
        <w:spacing w:after="0" w:line="288" w:lineRule="auto"/>
        <w:ind w:left="75"/>
        <w:jc w:val="both"/>
      </w:pPr>
      <w:r>
        <w:rPr>
          <w:rFonts w:ascii="Calibri" w:hAnsi="Calibri" w:cs="Tahoma"/>
        </w:rPr>
        <w:t xml:space="preserve">S obzirom da navedeno vozilo nije evidentirano u poslovnoj evidenciji stečajnog </w:t>
      </w:r>
      <w:r>
        <w:rPr>
          <w:rFonts w:ascii="Calibri" w:hAnsi="Calibri" w:cs="Tahoma"/>
        </w:rPr>
        <w:t>dužnika</w:t>
      </w:r>
      <w:r>
        <w:rPr>
          <w:rFonts w:ascii="Calibri" w:hAnsi="Calibri" w:cs="Tahoma"/>
          <w:b/>
          <w:i/>
        </w:rPr>
        <w:t>,</w:t>
      </w:r>
      <w:r>
        <w:rPr>
          <w:rFonts w:ascii="Calibri" w:hAnsi="Calibri" w:cs="Tahoma"/>
        </w:rPr>
        <w:t xml:space="preserve"> zatražena  je dokumentacija  od Policijske uprave Pula, a za koje Uvjerenje još nije dostavljeno.</w:t>
      </w:r>
    </w:p>
    <w:p w:rsidR="0080344B" w:rsidRDefault="0080344B">
      <w:pPr>
        <w:pStyle w:val="Standard"/>
        <w:spacing w:after="0" w:line="288" w:lineRule="auto"/>
        <w:jc w:val="both"/>
        <w:rPr>
          <w:rFonts w:ascii="Calibri" w:hAnsi="Calibri" w:cs="Tahoma"/>
        </w:rPr>
      </w:pPr>
    </w:p>
    <w:p w:rsidR="0080344B" w:rsidRDefault="00A05E7E">
      <w:pPr>
        <w:pStyle w:val="Standard"/>
        <w:spacing w:after="0" w:line="288" w:lineRule="auto"/>
        <w:jc w:val="both"/>
        <w:rPr>
          <w:rFonts w:ascii="Calibri" w:hAnsi="Calibri" w:cs="Tahoma"/>
          <w:color w:val="FF0000"/>
        </w:rPr>
      </w:pPr>
      <w:r>
        <w:rPr>
          <w:rFonts w:ascii="Calibri" w:hAnsi="Calibri" w:cs="Tahoma"/>
          <w:color w:val="FF0000"/>
        </w:rPr>
        <w:t xml:space="preserve">                                                                                                                  </w:t>
      </w:r>
    </w:p>
    <w:p w:rsidR="0080344B" w:rsidRDefault="00A05E7E">
      <w:pPr>
        <w:pStyle w:val="Standard"/>
        <w:numPr>
          <w:ilvl w:val="0"/>
          <w:numId w:val="30"/>
        </w:numPr>
        <w:spacing w:after="0" w:line="288" w:lineRule="auto"/>
        <w:jc w:val="both"/>
        <w:rPr>
          <w:rFonts w:ascii="Calibri" w:hAnsi="Calibri" w:cs="Tahoma"/>
          <w:b/>
          <w:i/>
        </w:rPr>
      </w:pPr>
      <w:r>
        <w:rPr>
          <w:rFonts w:ascii="Calibri" w:hAnsi="Calibri" w:cs="Tahoma"/>
          <w:b/>
          <w:i/>
        </w:rPr>
        <w:t>Zalihe</w:t>
      </w:r>
    </w:p>
    <w:p w:rsidR="0080344B" w:rsidRDefault="00A05E7E">
      <w:pPr>
        <w:pStyle w:val="Standard"/>
        <w:spacing w:after="0" w:line="288" w:lineRule="auto"/>
        <w:jc w:val="both"/>
        <w:rPr>
          <w:rFonts w:ascii="Calibri" w:hAnsi="Calibri" w:cs="Tahoma"/>
        </w:rPr>
      </w:pPr>
      <w:r>
        <w:rPr>
          <w:rFonts w:ascii="Calibri" w:hAnsi="Calibri" w:cs="Tahoma"/>
        </w:rPr>
        <w:t>U bilanci stečajnog dužnik</w:t>
      </w:r>
      <w:r>
        <w:rPr>
          <w:rFonts w:ascii="Calibri" w:hAnsi="Calibri" w:cs="Tahoma"/>
        </w:rPr>
        <w:t>a na dan 31.12.2013. godine iskazane su zalihe u vrijednosti 8.000,00 kn.</w:t>
      </w:r>
    </w:p>
    <w:p w:rsidR="0080344B" w:rsidRDefault="00A05E7E">
      <w:pPr>
        <w:pStyle w:val="Standard"/>
        <w:spacing w:after="0" w:line="288" w:lineRule="auto"/>
        <w:jc w:val="both"/>
      </w:pPr>
      <w:r>
        <w:rPr>
          <w:rFonts w:ascii="Calibri" w:hAnsi="Calibri" w:cs="Tahoma"/>
        </w:rPr>
        <w:t xml:space="preserve">Iz poslovne dokumentacije nije moguće utvrditi o kakvim se zalihama radi, pa se knjigovodstvena vrijednost u ovom izvješću prikazuje u iznosu od </w:t>
      </w:r>
      <w:r>
        <w:rPr>
          <w:rFonts w:ascii="Calibri" w:hAnsi="Calibri" w:cs="Tahoma"/>
          <w:b/>
        </w:rPr>
        <w:t>0,00 kn.</w:t>
      </w:r>
    </w:p>
    <w:p w:rsidR="0080344B" w:rsidRDefault="0080344B">
      <w:pPr>
        <w:pStyle w:val="Standard"/>
        <w:spacing w:after="0" w:line="288" w:lineRule="auto"/>
        <w:jc w:val="both"/>
        <w:rPr>
          <w:rFonts w:ascii="Calibri" w:hAnsi="Calibri" w:cs="Tahoma"/>
          <w:b/>
          <w:i/>
          <w:u w:val="single"/>
        </w:rPr>
      </w:pPr>
    </w:p>
    <w:p w:rsidR="0080344B" w:rsidRDefault="0080344B">
      <w:pPr>
        <w:pStyle w:val="Standard"/>
        <w:spacing w:after="0" w:line="288" w:lineRule="auto"/>
        <w:jc w:val="both"/>
        <w:rPr>
          <w:rFonts w:ascii="Calibri" w:hAnsi="Calibri" w:cs="Tahoma"/>
          <w:b/>
          <w:i/>
          <w:u w:val="single"/>
        </w:rPr>
      </w:pPr>
    </w:p>
    <w:p w:rsidR="0080344B" w:rsidRDefault="00A05E7E">
      <w:pPr>
        <w:pStyle w:val="Standard"/>
        <w:numPr>
          <w:ilvl w:val="0"/>
          <w:numId w:val="30"/>
        </w:numPr>
        <w:spacing w:after="0" w:line="288" w:lineRule="auto"/>
        <w:rPr>
          <w:rFonts w:ascii="Calibri" w:hAnsi="Calibri" w:cs="Tahoma"/>
          <w:b/>
          <w:i/>
        </w:rPr>
      </w:pPr>
      <w:r>
        <w:rPr>
          <w:rFonts w:ascii="Calibri" w:hAnsi="Calibri" w:cs="Tahoma"/>
          <w:b/>
          <w:i/>
        </w:rPr>
        <w:t>Potraživanja od kupaca (du</w:t>
      </w:r>
      <w:r>
        <w:rPr>
          <w:rFonts w:ascii="Calibri" w:hAnsi="Calibri" w:cs="Tahoma"/>
          <w:b/>
          <w:i/>
        </w:rPr>
        <w:t>žnikovi dužnici)</w:t>
      </w:r>
    </w:p>
    <w:p w:rsidR="0080344B" w:rsidRDefault="00A05E7E">
      <w:pPr>
        <w:pStyle w:val="Standard"/>
        <w:spacing w:after="0" w:line="288" w:lineRule="auto"/>
        <w:jc w:val="both"/>
      </w:pPr>
      <w:r>
        <w:rPr>
          <w:rFonts w:ascii="Calibri" w:hAnsi="Calibri" w:cs="Tahoma"/>
        </w:rPr>
        <w:t>Knjigovodstvena vrijednost potraživanja od kupaca evidentirana je u bilanci na dan 31.12.2013. od 33.600,00 kn. S obzirom da stečajni dužnik već nekoliko godina ne posluje, nemoguće je utvrditi dužnike (uz realnu mogućnost da je i nastupil</w:t>
      </w:r>
      <w:r>
        <w:rPr>
          <w:rFonts w:ascii="Calibri" w:hAnsi="Calibri" w:cs="Tahoma"/>
        </w:rPr>
        <w:t xml:space="preserve">a zastara), te se potraživanja od kupaca procjenjuju na iznos od </w:t>
      </w:r>
      <w:r>
        <w:rPr>
          <w:rFonts w:ascii="Calibri" w:hAnsi="Calibri" w:cs="Tahoma"/>
          <w:b/>
        </w:rPr>
        <w:t>0,00 kn</w:t>
      </w:r>
      <w:r>
        <w:rPr>
          <w:rFonts w:ascii="Calibri" w:hAnsi="Calibri" w:cs="Tahoma"/>
        </w:rPr>
        <w:t>.</w:t>
      </w:r>
    </w:p>
    <w:p w:rsidR="0080344B" w:rsidRDefault="0080344B">
      <w:pPr>
        <w:pStyle w:val="Standard"/>
        <w:spacing w:after="0" w:line="288" w:lineRule="auto"/>
        <w:jc w:val="both"/>
        <w:rPr>
          <w:rFonts w:ascii="Calibri" w:hAnsi="Calibri" w:cs="Tahoma"/>
          <w:b/>
          <w:i/>
        </w:rPr>
      </w:pPr>
    </w:p>
    <w:p w:rsidR="0080344B" w:rsidRDefault="0080344B">
      <w:pPr>
        <w:pStyle w:val="Standard"/>
        <w:spacing w:after="0" w:line="288" w:lineRule="auto"/>
        <w:jc w:val="both"/>
        <w:rPr>
          <w:rFonts w:ascii="Calibri" w:hAnsi="Calibri" w:cs="Tahoma"/>
          <w:i/>
        </w:rPr>
      </w:pPr>
    </w:p>
    <w:p w:rsidR="0080344B" w:rsidRDefault="0080344B">
      <w:pPr>
        <w:pStyle w:val="Standard"/>
        <w:spacing w:after="0" w:line="288" w:lineRule="auto"/>
        <w:jc w:val="both"/>
      </w:pPr>
    </w:p>
    <w:p w:rsidR="0080344B" w:rsidRDefault="00A05E7E">
      <w:pPr>
        <w:pStyle w:val="Standard"/>
        <w:numPr>
          <w:ilvl w:val="0"/>
          <w:numId w:val="30"/>
        </w:numPr>
        <w:spacing w:after="0" w:line="288" w:lineRule="auto"/>
        <w:rPr>
          <w:rFonts w:ascii="Calibri" w:hAnsi="Calibri" w:cs="Tahoma"/>
          <w:b/>
          <w:i/>
        </w:rPr>
      </w:pPr>
      <w:r>
        <w:rPr>
          <w:rFonts w:ascii="Calibri" w:hAnsi="Calibri" w:cs="Tahoma"/>
          <w:b/>
          <w:i/>
        </w:rPr>
        <w:t xml:space="preserve">Ostala potraživanja </w:t>
      </w:r>
    </w:p>
    <w:p w:rsidR="0080344B" w:rsidRDefault="00A05E7E">
      <w:pPr>
        <w:pStyle w:val="Standard"/>
        <w:spacing w:after="0" w:line="288" w:lineRule="auto"/>
        <w:jc w:val="both"/>
      </w:pPr>
      <w:r>
        <w:rPr>
          <w:rFonts w:ascii="Calibri" w:hAnsi="Calibri" w:cs="Tahoma"/>
        </w:rPr>
        <w:t xml:space="preserve">Knjigovodstvena vrijednost ostalih potraživanja na dan 31.12.2013. evidentirana su u iznosu od 11.200,00 kn. Iz dostupne dokumentacije nije moguće utvrditi o </w:t>
      </w:r>
      <w:r>
        <w:rPr>
          <w:rFonts w:ascii="Calibri" w:hAnsi="Calibri" w:cs="Tahoma"/>
        </w:rPr>
        <w:t>kakvim se potraživanjima radi,a pretpostavlja se da se potraživanja  odnose na nerasknjižene i neevidentirane poslovne promjene (nerasknjiženi PDV po ulaznim računima, potraživanja za više uplaćeni porez i dr.), a za koja potraživanja nisu izvršena odgovar</w:t>
      </w:r>
      <w:r>
        <w:rPr>
          <w:rFonts w:ascii="Calibri" w:hAnsi="Calibri" w:cs="Tahoma"/>
        </w:rPr>
        <w:t xml:space="preserve">ajuća knjiženja prije otvaranja stečajnog postupka ista se u početnoj stečajnoj bilanci procjenjuju na iznos od </w:t>
      </w:r>
      <w:r>
        <w:rPr>
          <w:rFonts w:ascii="Calibri" w:hAnsi="Calibri" w:cs="Tahoma"/>
          <w:b/>
          <w:i/>
        </w:rPr>
        <w:t>0,00 kn</w:t>
      </w:r>
      <w:r>
        <w:rPr>
          <w:rFonts w:ascii="Calibri" w:hAnsi="Calibri" w:cs="Tahoma"/>
        </w:rPr>
        <w:t xml:space="preserve"> jer nisu potraživanja koja bi činila stečajnu masu.</w:t>
      </w:r>
    </w:p>
    <w:p w:rsidR="0080344B" w:rsidRDefault="0080344B">
      <w:pPr>
        <w:pStyle w:val="Standard"/>
        <w:spacing w:after="0" w:line="288" w:lineRule="auto"/>
        <w:jc w:val="both"/>
        <w:rPr>
          <w:rFonts w:ascii="Calibri" w:hAnsi="Calibri" w:cs="Tahoma"/>
        </w:rPr>
      </w:pPr>
    </w:p>
    <w:p w:rsidR="0080344B" w:rsidRDefault="00A05E7E">
      <w:pPr>
        <w:pStyle w:val="Standard"/>
        <w:jc w:val="both"/>
      </w:pPr>
      <w:r>
        <w:rPr>
          <w:rFonts w:ascii="Calibri" w:hAnsi="Calibri" w:cs="Tahoma"/>
          <w:i/>
        </w:rPr>
        <w:t>Slijedom iznijetog, vrijednost imovine stečajnog dužnika koja čini stečajnu masu is</w:t>
      </w:r>
      <w:r>
        <w:rPr>
          <w:rFonts w:ascii="Calibri" w:hAnsi="Calibri" w:cs="Tahoma"/>
          <w:i/>
        </w:rPr>
        <w:t xml:space="preserve">kazana na  početnoj stečajnoj bilanci iznosi  </w:t>
      </w:r>
      <w:r>
        <w:rPr>
          <w:rFonts w:ascii="Calibri" w:hAnsi="Calibri" w:cs="Tahoma"/>
          <w:b/>
          <w:i/>
        </w:rPr>
        <w:t xml:space="preserve">305.754,00  kn, </w:t>
      </w:r>
      <w:r>
        <w:rPr>
          <w:rFonts w:ascii="Calibri" w:hAnsi="Calibri" w:cs="Tahoma"/>
          <w:i/>
        </w:rPr>
        <w:t>a koja se</w:t>
      </w:r>
      <w:r>
        <w:rPr>
          <w:rFonts w:ascii="Calibri" w:hAnsi="Calibri" w:cs="Tahoma"/>
        </w:rPr>
        <w:t xml:space="preserve"> </w:t>
      </w:r>
      <w:r>
        <w:rPr>
          <w:rFonts w:ascii="Calibri" w:hAnsi="Calibri" w:cs="Tahoma"/>
          <w:i/>
        </w:rPr>
        <w:t>imovina</w:t>
      </w:r>
      <w:r>
        <w:rPr>
          <w:rFonts w:ascii="Calibri" w:hAnsi="Calibri" w:cs="Tahoma"/>
        </w:rPr>
        <w:t xml:space="preserve"> </w:t>
      </w:r>
      <w:r>
        <w:rPr>
          <w:rFonts w:ascii="Calibri" w:hAnsi="Calibri" w:cs="Tahoma"/>
          <w:i/>
        </w:rPr>
        <w:t>sastoji od  nekretnine.</w:t>
      </w:r>
    </w:p>
    <w:p w:rsidR="0080344B" w:rsidRDefault="0080344B">
      <w:pPr>
        <w:pStyle w:val="Standard"/>
        <w:jc w:val="both"/>
      </w:pPr>
    </w:p>
    <w:p w:rsidR="0080344B" w:rsidRDefault="00A05E7E">
      <w:pPr>
        <w:pStyle w:val="Standard"/>
        <w:jc w:val="both"/>
        <w:rPr>
          <w:rFonts w:ascii="Calibri" w:hAnsi="Calibri" w:cs="Tahoma"/>
          <w:i/>
        </w:rPr>
      </w:pPr>
      <w:r>
        <w:rPr>
          <w:rFonts w:ascii="Calibri" w:hAnsi="Calibri" w:cs="Tahoma"/>
          <w:i/>
        </w:rPr>
        <w:t xml:space="preserve"> </w:t>
      </w:r>
    </w:p>
    <w:p w:rsidR="0080344B" w:rsidRDefault="00A05E7E">
      <w:pPr>
        <w:pStyle w:val="Standard"/>
        <w:jc w:val="both"/>
      </w:pPr>
      <w:r>
        <w:rPr>
          <w:rFonts w:ascii="Calibri" w:hAnsi="Calibri" w:cs="Tahoma"/>
          <w:i/>
        </w:rPr>
        <w:lastRenderedPageBreak/>
        <w:t xml:space="preserve"> </w:t>
      </w:r>
    </w:p>
    <w:p w:rsidR="0080344B" w:rsidRDefault="00A05E7E">
      <w:pPr>
        <w:pStyle w:val="Standard"/>
        <w:spacing w:after="0" w:line="288" w:lineRule="auto"/>
        <w:jc w:val="both"/>
        <w:rPr>
          <w:rFonts w:ascii="Calibri" w:hAnsi="Calibri" w:cs="Tahoma"/>
          <w:b/>
        </w:rPr>
      </w:pPr>
      <w:r>
        <w:rPr>
          <w:rFonts w:ascii="Calibri" w:hAnsi="Calibri" w:cs="Tahoma"/>
          <w:b/>
        </w:rPr>
        <w:t xml:space="preserve">B) OBVEZE </w:t>
      </w:r>
    </w:p>
    <w:p w:rsidR="0080344B" w:rsidRDefault="00A05E7E">
      <w:pPr>
        <w:pStyle w:val="Standard"/>
        <w:spacing w:after="0" w:line="288" w:lineRule="auto"/>
        <w:jc w:val="both"/>
      </w:pPr>
      <w:r>
        <w:rPr>
          <w:rFonts w:ascii="Calibri" w:hAnsi="Calibri" w:cs="Tahoma"/>
        </w:rPr>
        <w:t xml:space="preserve">Knjigovodstvena vrijednost iskazanih obveza stečajnog dužnika po preuzetoj bilanci na dan 31.12.2013. godine  iznosi 925.000,00 kn, dok </w:t>
      </w:r>
      <w:r>
        <w:rPr>
          <w:rFonts w:ascii="Calibri" w:hAnsi="Calibri" w:cs="Tahoma"/>
        </w:rPr>
        <w:t xml:space="preserve">ukupno prijavljene tražbine  stečajnih vjerovnika  iznose  </w:t>
      </w:r>
      <w:r>
        <w:rPr>
          <w:rFonts w:ascii="Calibri" w:hAnsi="Calibri" w:cs="Tahoma"/>
          <w:b/>
        </w:rPr>
        <w:t>211.508,06 kn</w:t>
      </w:r>
      <w:r>
        <w:rPr>
          <w:rFonts w:ascii="Calibri" w:hAnsi="Calibri" w:cs="Tahoma"/>
        </w:rPr>
        <w:t>, koje su tražbine  u odnosu na red isplate svrstane u tražbine :</w:t>
      </w:r>
    </w:p>
    <w:p w:rsidR="0080344B" w:rsidRDefault="0080344B">
      <w:pPr>
        <w:pStyle w:val="Standard"/>
        <w:spacing w:after="0" w:line="288" w:lineRule="auto"/>
        <w:jc w:val="both"/>
        <w:rPr>
          <w:rFonts w:ascii="Calibri" w:hAnsi="Calibri" w:cs="Tahoma"/>
        </w:rPr>
      </w:pPr>
    </w:p>
    <w:p w:rsidR="0080344B" w:rsidRDefault="00A05E7E">
      <w:pPr>
        <w:pStyle w:val="Standard"/>
        <w:numPr>
          <w:ilvl w:val="0"/>
          <w:numId w:val="31"/>
        </w:numPr>
        <w:spacing w:after="0" w:line="288" w:lineRule="auto"/>
        <w:ind w:left="714" w:hanging="357"/>
        <w:jc w:val="both"/>
        <w:rPr>
          <w:rFonts w:ascii="Calibri" w:hAnsi="Calibri" w:cs="Tahoma"/>
        </w:rPr>
      </w:pPr>
      <w:r>
        <w:rPr>
          <w:rFonts w:ascii="Calibri" w:hAnsi="Calibri" w:cs="Tahoma"/>
        </w:rPr>
        <w:t>I višeg isplatnog reda u iznosu od</w:t>
      </w:r>
      <w:r>
        <w:rPr>
          <w:rFonts w:ascii="Calibri" w:hAnsi="Calibri" w:cs="Tahoma"/>
        </w:rPr>
        <w:tab/>
      </w:r>
      <w:r>
        <w:rPr>
          <w:rFonts w:ascii="Calibri" w:hAnsi="Calibri" w:cs="Tahoma"/>
        </w:rPr>
        <w:tab/>
        <w:t>35.119,47  kn</w:t>
      </w:r>
    </w:p>
    <w:p w:rsidR="0080344B" w:rsidRDefault="00A05E7E">
      <w:pPr>
        <w:pStyle w:val="Standard"/>
        <w:numPr>
          <w:ilvl w:val="0"/>
          <w:numId w:val="31"/>
        </w:numPr>
        <w:spacing w:after="0" w:line="288" w:lineRule="auto"/>
        <w:ind w:left="714" w:hanging="357"/>
        <w:jc w:val="both"/>
        <w:rPr>
          <w:rFonts w:ascii="Calibri" w:hAnsi="Calibri" w:cs="Tahoma"/>
        </w:rPr>
      </w:pPr>
      <w:r>
        <w:rPr>
          <w:rFonts w:ascii="Calibri" w:hAnsi="Calibri" w:cs="Tahoma"/>
        </w:rPr>
        <w:t xml:space="preserve">II višeg isplatnog reda u iznosu od </w:t>
      </w:r>
      <w:r>
        <w:rPr>
          <w:rFonts w:ascii="Calibri" w:hAnsi="Calibri" w:cs="Tahoma"/>
        </w:rPr>
        <w:tab/>
        <w:t xml:space="preserve">           176.388.59  kn</w:t>
      </w:r>
    </w:p>
    <w:p w:rsidR="0080344B" w:rsidRDefault="0080344B">
      <w:pPr>
        <w:pStyle w:val="Standard"/>
        <w:spacing w:after="0" w:line="288" w:lineRule="auto"/>
        <w:jc w:val="both"/>
        <w:rPr>
          <w:rFonts w:ascii="Calibri" w:hAnsi="Calibri" w:cs="Tahoma"/>
          <w:b/>
          <w:i/>
        </w:rPr>
      </w:pPr>
    </w:p>
    <w:p w:rsidR="0080344B" w:rsidRDefault="0080344B">
      <w:pPr>
        <w:pStyle w:val="Standard"/>
        <w:spacing w:after="0" w:line="288" w:lineRule="auto"/>
        <w:jc w:val="both"/>
        <w:rPr>
          <w:rFonts w:ascii="Calibri" w:hAnsi="Calibri" w:cs="Tahoma"/>
        </w:rPr>
      </w:pPr>
    </w:p>
    <w:p w:rsidR="0080344B" w:rsidRDefault="0080344B">
      <w:pPr>
        <w:pStyle w:val="Standard"/>
        <w:spacing w:after="0" w:line="288" w:lineRule="auto"/>
        <w:jc w:val="both"/>
        <w:rPr>
          <w:rFonts w:ascii="Calibri" w:hAnsi="Calibri" w:cs="Tahoma"/>
        </w:rPr>
      </w:pPr>
    </w:p>
    <w:p w:rsidR="0080344B" w:rsidRDefault="00A05E7E">
      <w:pPr>
        <w:pStyle w:val="Standard"/>
        <w:spacing w:after="0" w:line="288" w:lineRule="auto"/>
        <w:jc w:val="both"/>
      </w:pPr>
      <w:r>
        <w:rPr>
          <w:rFonts w:ascii="Calibri" w:hAnsi="Calibri" w:cs="Tahoma"/>
        </w:rPr>
        <w:t xml:space="preserve"> </w:t>
      </w:r>
      <w:r>
        <w:rPr>
          <w:rFonts w:ascii="Calibri" w:hAnsi="Calibri" w:cs="Tahoma"/>
          <w:b/>
        </w:rPr>
        <w:t xml:space="preserve">IV) </w:t>
      </w:r>
      <w:r>
        <w:rPr>
          <w:rFonts w:ascii="Calibri" w:hAnsi="Calibri" w:cs="Tahoma"/>
          <w:b/>
          <w:u w:val="single"/>
        </w:rPr>
        <w:t>Zaključci i prijedlozi</w:t>
      </w:r>
    </w:p>
    <w:p w:rsidR="0080344B" w:rsidRDefault="0080344B">
      <w:pPr>
        <w:pStyle w:val="Standard"/>
        <w:spacing w:after="0" w:line="288" w:lineRule="auto"/>
        <w:jc w:val="both"/>
        <w:rPr>
          <w:rFonts w:ascii="Calibri" w:hAnsi="Calibri" w:cs="Tahoma"/>
          <w:b/>
          <w:u w:val="single"/>
        </w:rPr>
      </w:pPr>
    </w:p>
    <w:p w:rsidR="0080344B" w:rsidRDefault="00A05E7E">
      <w:pPr>
        <w:pStyle w:val="Standard"/>
        <w:spacing w:after="0" w:line="288" w:lineRule="auto"/>
        <w:jc w:val="both"/>
        <w:rPr>
          <w:rFonts w:ascii="Calibri" w:hAnsi="Calibri" w:cs="Tahoma"/>
        </w:rPr>
      </w:pPr>
      <w:r>
        <w:rPr>
          <w:rFonts w:ascii="Calibri" w:hAnsi="Calibri" w:cs="Tahoma"/>
        </w:rPr>
        <w:t>Stečajni upravitelj predlaže da stečajni vjerovnici na izvještajnom ročištu usvoje slijedeće zaključke:</w:t>
      </w:r>
    </w:p>
    <w:p w:rsidR="0080344B" w:rsidRDefault="00A05E7E">
      <w:pPr>
        <w:pStyle w:val="Standard"/>
        <w:numPr>
          <w:ilvl w:val="0"/>
          <w:numId w:val="32"/>
        </w:numPr>
        <w:spacing w:after="0" w:line="288" w:lineRule="auto"/>
        <w:jc w:val="both"/>
        <w:rPr>
          <w:rFonts w:ascii="Calibri" w:hAnsi="Calibri" w:cs="Tahoma"/>
        </w:rPr>
      </w:pPr>
      <w:r>
        <w:rPr>
          <w:rFonts w:ascii="Calibri" w:hAnsi="Calibri" w:cs="Tahoma"/>
        </w:rPr>
        <w:t>prihvaća se izvješće stečajnog upravitelja o gospodarskom položaju stečajnog dužnika,</w:t>
      </w:r>
    </w:p>
    <w:p w:rsidR="0080344B" w:rsidRDefault="00A05E7E">
      <w:pPr>
        <w:pStyle w:val="Standard"/>
        <w:numPr>
          <w:ilvl w:val="0"/>
          <w:numId w:val="32"/>
        </w:numPr>
        <w:spacing w:after="0" w:line="288" w:lineRule="auto"/>
        <w:jc w:val="both"/>
        <w:rPr>
          <w:rFonts w:ascii="Calibri" w:hAnsi="Calibri" w:cs="Tahoma"/>
        </w:rPr>
      </w:pPr>
      <w:r>
        <w:rPr>
          <w:rFonts w:ascii="Calibri" w:hAnsi="Calibri" w:cs="Tahoma"/>
        </w:rPr>
        <w:t>prihvaćaju se poduzete radnje stečajno</w:t>
      </w:r>
      <w:r>
        <w:rPr>
          <w:rFonts w:ascii="Calibri" w:hAnsi="Calibri" w:cs="Tahoma"/>
        </w:rPr>
        <w:t>g upravitelja,</w:t>
      </w:r>
    </w:p>
    <w:p w:rsidR="0080344B" w:rsidRDefault="00A05E7E">
      <w:pPr>
        <w:pStyle w:val="Standard"/>
        <w:numPr>
          <w:ilvl w:val="0"/>
          <w:numId w:val="32"/>
        </w:numPr>
        <w:spacing w:after="0" w:line="288" w:lineRule="auto"/>
        <w:jc w:val="both"/>
        <w:rPr>
          <w:rFonts w:ascii="Calibri" w:hAnsi="Calibri" w:cs="Tahoma"/>
        </w:rPr>
      </w:pPr>
      <w:r>
        <w:rPr>
          <w:rFonts w:ascii="Calibri" w:hAnsi="Calibri" w:cs="Tahoma"/>
        </w:rPr>
        <w:t>pokreće se prodaja imovine stečajnog dužnika sukladno Stečajnom zakonu.</w:t>
      </w:r>
    </w:p>
    <w:p w:rsidR="0080344B" w:rsidRDefault="0080344B">
      <w:pPr>
        <w:pStyle w:val="Standard"/>
        <w:spacing w:after="0" w:line="288" w:lineRule="auto"/>
        <w:jc w:val="both"/>
        <w:rPr>
          <w:rFonts w:ascii="Calibri" w:hAnsi="Calibri" w:cs="Tahoma"/>
          <w:bCs/>
        </w:rPr>
      </w:pPr>
    </w:p>
    <w:p w:rsidR="0080344B" w:rsidRDefault="0080344B">
      <w:pPr>
        <w:pStyle w:val="Standard"/>
        <w:spacing w:after="0" w:line="288" w:lineRule="auto"/>
        <w:jc w:val="both"/>
        <w:rPr>
          <w:rFonts w:ascii="Calibri" w:hAnsi="Calibri" w:cs="Tahoma"/>
          <w:bCs/>
        </w:rPr>
      </w:pPr>
    </w:p>
    <w:p w:rsidR="0080344B" w:rsidRDefault="00A05E7E">
      <w:pPr>
        <w:pStyle w:val="Standard"/>
        <w:spacing w:after="0" w:line="288" w:lineRule="auto"/>
        <w:jc w:val="both"/>
        <w:rPr>
          <w:rFonts w:ascii="Calibri" w:hAnsi="Calibri" w:cs="Tahoma"/>
        </w:rPr>
      </w:pPr>
      <w:r>
        <w:rPr>
          <w:rFonts w:ascii="Calibri" w:hAnsi="Calibri" w:cs="Tahoma"/>
        </w:rPr>
        <w:t xml:space="preserve">           </w:t>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p>
    <w:p w:rsidR="0080344B" w:rsidRDefault="00A05E7E">
      <w:pPr>
        <w:pStyle w:val="Standard"/>
        <w:spacing w:after="0" w:line="288" w:lineRule="auto"/>
        <w:jc w:val="both"/>
        <w:rPr>
          <w:rFonts w:ascii="Calibri" w:hAnsi="Calibri" w:cs="Tahoma"/>
        </w:rPr>
      </w:pPr>
      <w:r>
        <w:rPr>
          <w:rFonts w:ascii="Calibri" w:hAnsi="Calibri" w:cs="Tahoma"/>
        </w:rPr>
        <w:t xml:space="preserve">                                                                                            FOLAN  d.o.o. u stečaju Pula</w:t>
      </w:r>
    </w:p>
    <w:p w:rsidR="0080344B" w:rsidRDefault="00A05E7E">
      <w:pPr>
        <w:pStyle w:val="Standard"/>
        <w:spacing w:after="0" w:line="288" w:lineRule="auto"/>
        <w:jc w:val="both"/>
        <w:rPr>
          <w:rFonts w:ascii="Calibri" w:hAnsi="Calibri" w:cs="Tahoma"/>
        </w:rPr>
      </w:pP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t xml:space="preserve">Dražen </w:t>
      </w:r>
      <w:proofErr w:type="spellStart"/>
      <w:r>
        <w:rPr>
          <w:rFonts w:ascii="Calibri" w:hAnsi="Calibri" w:cs="Tahoma"/>
        </w:rPr>
        <w:t>Vidman</w:t>
      </w:r>
      <w:proofErr w:type="spellEnd"/>
      <w:r>
        <w:rPr>
          <w:rFonts w:ascii="Calibri" w:hAnsi="Calibri" w:cs="Tahoma"/>
        </w:rPr>
        <w:t>, steča</w:t>
      </w:r>
      <w:r>
        <w:rPr>
          <w:rFonts w:ascii="Calibri" w:hAnsi="Calibri" w:cs="Tahoma"/>
        </w:rPr>
        <w:t>jni upravitelj</w:t>
      </w:r>
    </w:p>
    <w:p w:rsidR="0080344B" w:rsidRDefault="0080344B">
      <w:pPr>
        <w:pStyle w:val="Standard"/>
        <w:spacing w:after="0" w:line="288" w:lineRule="auto"/>
        <w:jc w:val="both"/>
        <w:rPr>
          <w:rFonts w:ascii="Calibri" w:hAnsi="Calibri" w:cs="Tahoma"/>
        </w:rPr>
      </w:pPr>
    </w:p>
    <w:p w:rsidR="0080344B" w:rsidRDefault="00A05E7E">
      <w:pPr>
        <w:pStyle w:val="Standard"/>
        <w:spacing w:after="0" w:line="288" w:lineRule="auto"/>
        <w:jc w:val="both"/>
        <w:rPr>
          <w:rFonts w:ascii="Calibri" w:hAnsi="Calibri" w:cs="Tahoma"/>
          <w:i/>
        </w:rPr>
      </w:pPr>
      <w:r>
        <w:rPr>
          <w:rFonts w:ascii="Calibri" w:hAnsi="Calibri" w:cs="Tahoma"/>
          <w:i/>
        </w:rPr>
        <w:t xml:space="preserve">Prilozi uz izvješće: </w:t>
      </w:r>
    </w:p>
    <w:p w:rsidR="0080344B" w:rsidRDefault="0080344B">
      <w:pPr>
        <w:pStyle w:val="Standard"/>
        <w:spacing w:after="0" w:line="288" w:lineRule="auto"/>
        <w:jc w:val="both"/>
        <w:rPr>
          <w:rFonts w:ascii="Calibri" w:hAnsi="Calibri" w:cs="Tahoma"/>
        </w:rPr>
      </w:pPr>
    </w:p>
    <w:p w:rsidR="0080344B" w:rsidRDefault="00A05E7E">
      <w:pPr>
        <w:pStyle w:val="Standard"/>
        <w:numPr>
          <w:ilvl w:val="0"/>
          <w:numId w:val="33"/>
        </w:numPr>
        <w:spacing w:after="0" w:line="288" w:lineRule="auto"/>
        <w:jc w:val="both"/>
        <w:rPr>
          <w:rFonts w:ascii="Calibri" w:hAnsi="Calibri" w:cs="Calibri"/>
        </w:rPr>
      </w:pPr>
      <w:r>
        <w:rPr>
          <w:rFonts w:ascii="Calibri" w:hAnsi="Calibri" w:cs="Calibri"/>
        </w:rPr>
        <w:t>Tablica prijavljenih i priznatih tražbina I viši isplatni red ( tražbina 1 )</w:t>
      </w:r>
    </w:p>
    <w:p w:rsidR="0080344B" w:rsidRDefault="00A05E7E">
      <w:pPr>
        <w:pStyle w:val="Standard"/>
        <w:numPr>
          <w:ilvl w:val="0"/>
          <w:numId w:val="33"/>
        </w:numPr>
        <w:spacing w:after="0" w:line="288" w:lineRule="auto"/>
        <w:jc w:val="both"/>
        <w:rPr>
          <w:rFonts w:ascii="Calibri" w:hAnsi="Calibri" w:cs="Calibri"/>
        </w:rPr>
      </w:pPr>
      <w:r>
        <w:rPr>
          <w:rFonts w:ascii="Calibri" w:hAnsi="Calibri" w:cs="Calibri"/>
        </w:rPr>
        <w:t>Tablica prijavljenih i priznatih tražbina II viši isplatni red ( tražbine 1-4)</w:t>
      </w:r>
    </w:p>
    <w:p w:rsidR="0080344B" w:rsidRDefault="00A05E7E">
      <w:pPr>
        <w:pStyle w:val="Standard"/>
        <w:numPr>
          <w:ilvl w:val="0"/>
          <w:numId w:val="33"/>
        </w:numPr>
        <w:spacing w:after="0" w:line="288" w:lineRule="auto"/>
        <w:jc w:val="both"/>
        <w:rPr>
          <w:rFonts w:ascii="Calibri" w:hAnsi="Calibri" w:cs="Calibri"/>
        </w:rPr>
      </w:pPr>
      <w:r>
        <w:rPr>
          <w:rFonts w:ascii="Calibri" w:hAnsi="Calibri" w:cs="Calibri"/>
        </w:rPr>
        <w:t>Tablica uplaćenih sudskih pristojbi</w:t>
      </w:r>
    </w:p>
    <w:p w:rsidR="0080344B" w:rsidRDefault="00A05E7E">
      <w:pPr>
        <w:pStyle w:val="Standard"/>
        <w:numPr>
          <w:ilvl w:val="0"/>
          <w:numId w:val="33"/>
        </w:numPr>
        <w:spacing w:after="0" w:line="288" w:lineRule="auto"/>
        <w:jc w:val="both"/>
        <w:rPr>
          <w:rFonts w:ascii="Calibri" w:hAnsi="Calibri" w:cs="Calibri"/>
        </w:rPr>
      </w:pPr>
      <w:r>
        <w:rPr>
          <w:rFonts w:ascii="Calibri" w:hAnsi="Calibri" w:cs="Calibri"/>
        </w:rPr>
        <w:t xml:space="preserve">Popis zastupnika </w:t>
      </w:r>
      <w:r>
        <w:rPr>
          <w:rFonts w:ascii="Calibri" w:hAnsi="Calibri" w:cs="Calibri"/>
        </w:rPr>
        <w:t>stečajnih vjerovnika</w:t>
      </w:r>
    </w:p>
    <w:p w:rsidR="0080344B" w:rsidRDefault="00A05E7E">
      <w:pPr>
        <w:pStyle w:val="Standard"/>
        <w:numPr>
          <w:ilvl w:val="0"/>
          <w:numId w:val="33"/>
        </w:numPr>
        <w:spacing w:after="0" w:line="288" w:lineRule="auto"/>
        <w:jc w:val="both"/>
        <w:rPr>
          <w:rFonts w:ascii="Calibri" w:hAnsi="Calibri" w:cs="Calibri"/>
        </w:rPr>
      </w:pPr>
      <w:r>
        <w:rPr>
          <w:rFonts w:ascii="Calibri" w:hAnsi="Calibri" w:cs="Calibri"/>
        </w:rPr>
        <w:t>Popis predmeta stečajne mase ( čl. 221. SZ )</w:t>
      </w:r>
    </w:p>
    <w:p w:rsidR="0080344B" w:rsidRDefault="00A05E7E">
      <w:pPr>
        <w:pStyle w:val="Standard"/>
        <w:numPr>
          <w:ilvl w:val="0"/>
          <w:numId w:val="33"/>
        </w:numPr>
        <w:spacing w:after="0" w:line="288" w:lineRule="auto"/>
        <w:jc w:val="both"/>
      </w:pPr>
      <w:r>
        <w:rPr>
          <w:rFonts w:ascii="Calibri" w:hAnsi="Calibri" w:cs="Calibri"/>
        </w:rPr>
        <w:t>Pregled imovine i obveza ( ČL. 223 SZ )</w:t>
      </w:r>
    </w:p>
    <w:sectPr w:rsidR="0080344B">
      <w:footerReference w:type="default" r:id="rId8"/>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05E7E">
      <w:pPr>
        <w:spacing w:after="0" w:line="240" w:lineRule="auto"/>
      </w:pPr>
      <w:r>
        <w:separator/>
      </w:r>
    </w:p>
  </w:endnote>
  <w:endnote w:type="continuationSeparator" w:id="0">
    <w:p w:rsidR="00000000" w:rsidRDefault="00A05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20002A87" w:usb1="00000000" w:usb2="00000000" w:usb3="00000000" w:csb0="000001FF" w:csb1="00000000"/>
  </w:font>
  <w:font w:name="Andale Sans UI">
    <w:charset w:val="00"/>
    <w:family w:val="auto"/>
    <w:pitch w:val="variable"/>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921" w:rsidRDefault="00A05E7E">
    <w:pPr>
      <w:pStyle w:val="Podnoje"/>
      <w:jc w:val="right"/>
    </w:pPr>
    <w:r>
      <w:fldChar w:fldCharType="begin"/>
    </w:r>
    <w:r>
      <w:instrText xml:space="preserve"> PAGE </w:instrText>
    </w:r>
    <w:r>
      <w:fldChar w:fldCharType="separate"/>
    </w:r>
    <w:r>
      <w:rPr>
        <w:noProof/>
      </w:rPr>
      <w:t>1</w:t>
    </w:r>
    <w:r>
      <w:fldChar w:fldCharType="end"/>
    </w:r>
  </w:p>
  <w:p w:rsidR="008E3921" w:rsidRDefault="00A05E7E">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05E7E">
      <w:pPr>
        <w:spacing w:after="0" w:line="240" w:lineRule="auto"/>
      </w:pPr>
      <w:r>
        <w:rPr>
          <w:color w:val="000000"/>
        </w:rPr>
        <w:separator/>
      </w:r>
    </w:p>
  </w:footnote>
  <w:footnote w:type="continuationSeparator" w:id="0">
    <w:p w:rsidR="00000000" w:rsidRDefault="00A05E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0222"/>
    <w:multiLevelType w:val="multilevel"/>
    <w:tmpl w:val="01103C9A"/>
    <w:styleLink w:val="WWNum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
    <w:nsid w:val="06CA11FD"/>
    <w:multiLevelType w:val="multilevel"/>
    <w:tmpl w:val="B5B0A330"/>
    <w:styleLink w:val="WW8Num2"/>
    <w:lvl w:ilvl="0">
      <w:start w:val="1"/>
      <w:numFmt w:val="lowerLetter"/>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98A1B72"/>
    <w:multiLevelType w:val="multilevel"/>
    <w:tmpl w:val="40D8215C"/>
    <w:styleLink w:val="WWNum4"/>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nsid w:val="0A370731"/>
    <w:multiLevelType w:val="multilevel"/>
    <w:tmpl w:val="459E4EC4"/>
    <w:lvl w:ilvl="0">
      <w:numFmt w:val="bullet"/>
      <w:lvlText w:val="-"/>
      <w:lvlJc w:val="left"/>
      <w:pPr>
        <w:ind w:left="420" w:hanging="360"/>
      </w:pPr>
      <w:rPr>
        <w:rFonts w:ascii="Calibri" w:eastAsia="SimSun" w:hAnsi="Calibri" w:cs="Calibri"/>
      </w:rPr>
    </w:lvl>
    <w:lvl w:ilvl="1">
      <w:numFmt w:val="bullet"/>
      <w:lvlText w:val="o"/>
      <w:lvlJc w:val="left"/>
      <w:pPr>
        <w:ind w:left="1140" w:hanging="360"/>
      </w:pPr>
      <w:rPr>
        <w:rFonts w:ascii="Courier New" w:hAnsi="Courier New" w:cs="Courier New"/>
      </w:rPr>
    </w:lvl>
    <w:lvl w:ilvl="2">
      <w:numFmt w:val="bullet"/>
      <w:lvlText w:val=""/>
      <w:lvlJc w:val="left"/>
      <w:pPr>
        <w:ind w:left="1860" w:hanging="360"/>
      </w:pPr>
      <w:rPr>
        <w:rFonts w:ascii="Wingdings" w:hAnsi="Wingdings"/>
      </w:rPr>
    </w:lvl>
    <w:lvl w:ilvl="3">
      <w:numFmt w:val="bullet"/>
      <w:lvlText w:val=""/>
      <w:lvlJc w:val="left"/>
      <w:pPr>
        <w:ind w:left="2580" w:hanging="360"/>
      </w:pPr>
      <w:rPr>
        <w:rFonts w:ascii="Symbol" w:hAnsi="Symbol"/>
      </w:rPr>
    </w:lvl>
    <w:lvl w:ilvl="4">
      <w:numFmt w:val="bullet"/>
      <w:lvlText w:val="o"/>
      <w:lvlJc w:val="left"/>
      <w:pPr>
        <w:ind w:left="3300" w:hanging="360"/>
      </w:pPr>
      <w:rPr>
        <w:rFonts w:ascii="Courier New" w:hAnsi="Courier New" w:cs="Courier New"/>
      </w:rPr>
    </w:lvl>
    <w:lvl w:ilvl="5">
      <w:numFmt w:val="bullet"/>
      <w:lvlText w:val=""/>
      <w:lvlJc w:val="left"/>
      <w:pPr>
        <w:ind w:left="4020" w:hanging="360"/>
      </w:pPr>
      <w:rPr>
        <w:rFonts w:ascii="Wingdings" w:hAnsi="Wingdings"/>
      </w:rPr>
    </w:lvl>
    <w:lvl w:ilvl="6">
      <w:numFmt w:val="bullet"/>
      <w:lvlText w:val=""/>
      <w:lvlJc w:val="left"/>
      <w:pPr>
        <w:ind w:left="4740" w:hanging="360"/>
      </w:pPr>
      <w:rPr>
        <w:rFonts w:ascii="Symbol" w:hAnsi="Symbol"/>
      </w:rPr>
    </w:lvl>
    <w:lvl w:ilvl="7">
      <w:numFmt w:val="bullet"/>
      <w:lvlText w:val="o"/>
      <w:lvlJc w:val="left"/>
      <w:pPr>
        <w:ind w:left="5460" w:hanging="360"/>
      </w:pPr>
      <w:rPr>
        <w:rFonts w:ascii="Courier New" w:hAnsi="Courier New" w:cs="Courier New"/>
      </w:rPr>
    </w:lvl>
    <w:lvl w:ilvl="8">
      <w:numFmt w:val="bullet"/>
      <w:lvlText w:val=""/>
      <w:lvlJc w:val="left"/>
      <w:pPr>
        <w:ind w:left="6180" w:hanging="360"/>
      </w:pPr>
      <w:rPr>
        <w:rFonts w:ascii="Wingdings" w:hAnsi="Wingdings"/>
      </w:rPr>
    </w:lvl>
  </w:abstractNum>
  <w:abstractNum w:abstractNumId="4">
    <w:nsid w:val="0A7D06D9"/>
    <w:multiLevelType w:val="multilevel"/>
    <w:tmpl w:val="C8F4C578"/>
    <w:lvl w:ilvl="0">
      <w:numFmt w:val="bullet"/>
      <w:lvlText w:val=""/>
      <w:lvlJc w:val="left"/>
      <w:pPr>
        <w:ind w:left="360" w:hanging="360"/>
      </w:pPr>
      <w:rPr>
        <w:rFonts w:ascii="Symbol" w:hAnsi="Symbol"/>
        <w:b w:val="0"/>
        <w:sz w:val="22"/>
        <w:szCs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nsid w:val="0B630241"/>
    <w:multiLevelType w:val="multilevel"/>
    <w:tmpl w:val="5D98E6EA"/>
    <w:styleLink w:val="WWNum1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nsid w:val="0DE77779"/>
    <w:multiLevelType w:val="multilevel"/>
    <w:tmpl w:val="63923180"/>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0E1A286B"/>
    <w:multiLevelType w:val="multilevel"/>
    <w:tmpl w:val="762E5404"/>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1276722F"/>
    <w:multiLevelType w:val="multilevel"/>
    <w:tmpl w:val="8BF84CBC"/>
    <w:styleLink w:val="WWNum3"/>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131D6DD3"/>
    <w:multiLevelType w:val="multilevel"/>
    <w:tmpl w:val="06CC1E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5882E11"/>
    <w:multiLevelType w:val="multilevel"/>
    <w:tmpl w:val="09C40BE8"/>
    <w:styleLink w:val="WWNum7"/>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nsid w:val="16F319AB"/>
    <w:multiLevelType w:val="multilevel"/>
    <w:tmpl w:val="E30A7B00"/>
    <w:styleLink w:val="WWNum20"/>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nsid w:val="17B06048"/>
    <w:multiLevelType w:val="multilevel"/>
    <w:tmpl w:val="CE726B24"/>
    <w:styleLink w:val="WWNum1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nsid w:val="1A7F2ACE"/>
    <w:multiLevelType w:val="multilevel"/>
    <w:tmpl w:val="D6C4A538"/>
    <w:styleLink w:val="WWNum2"/>
    <w:lvl w:ilvl="0">
      <w:numFmt w:val="bullet"/>
      <w:lvlText w:val="-"/>
      <w:lvlJc w:val="left"/>
      <w:rPr>
        <w:rFonts w:ascii="Tahoma" w:hAnsi="Tahoma"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nsid w:val="259161D1"/>
    <w:multiLevelType w:val="multilevel"/>
    <w:tmpl w:val="B7247E0C"/>
    <w:styleLink w:val="WW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9525E07"/>
    <w:multiLevelType w:val="multilevel"/>
    <w:tmpl w:val="F454036E"/>
    <w:styleLink w:val="WWNum16"/>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2CD07492"/>
    <w:multiLevelType w:val="multilevel"/>
    <w:tmpl w:val="A112ACEA"/>
    <w:styleLink w:val="WWNum1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34DA5F21"/>
    <w:multiLevelType w:val="multilevel"/>
    <w:tmpl w:val="A19A3D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43CC23C0"/>
    <w:multiLevelType w:val="multilevel"/>
    <w:tmpl w:val="6BE81D0E"/>
    <w:styleLink w:val="WW8Num4"/>
    <w:lvl w:ilvl="0">
      <w:start w:val="8"/>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475D77DF"/>
    <w:multiLevelType w:val="multilevel"/>
    <w:tmpl w:val="ECFC1486"/>
    <w:styleLink w:val="WWNum8"/>
    <w:lvl w:ilvl="0">
      <w:numFmt w:val="bullet"/>
      <w:lvlText w:val=""/>
      <w:lvlJc w:val="left"/>
      <w:rPr>
        <w:rFonts w:ascii="Symbol" w:hAnsi="Symbol"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nsid w:val="51236406"/>
    <w:multiLevelType w:val="multilevel"/>
    <w:tmpl w:val="0780FE2A"/>
    <w:lvl w:ilvl="0">
      <w:numFmt w:val="bullet"/>
      <w:lvlText w:val=""/>
      <w:lvlJc w:val="left"/>
      <w:pPr>
        <w:ind w:left="360" w:hanging="360"/>
      </w:pPr>
      <w:rPr>
        <w:rFonts w:ascii="Symbol" w:hAnsi="Symbol"/>
        <w:b w:val="0"/>
        <w:sz w:val="22"/>
        <w:szCs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60206ACB"/>
    <w:multiLevelType w:val="multilevel"/>
    <w:tmpl w:val="6EC27EF8"/>
    <w:styleLink w:val="WWNum1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606135AA"/>
    <w:multiLevelType w:val="multilevel"/>
    <w:tmpl w:val="CE226800"/>
    <w:lvl w:ilvl="0">
      <w:numFmt w:val="bullet"/>
      <w:lvlText w:val=""/>
      <w:lvlJc w:val="left"/>
      <w:pPr>
        <w:ind w:left="795" w:hanging="360"/>
      </w:pPr>
      <w:rPr>
        <w:rFonts w:ascii="Symbol" w:hAnsi="Symbol"/>
      </w:rPr>
    </w:lvl>
    <w:lvl w:ilvl="1">
      <w:numFmt w:val="bullet"/>
      <w:lvlText w:val="o"/>
      <w:lvlJc w:val="left"/>
      <w:pPr>
        <w:ind w:left="1515" w:hanging="360"/>
      </w:pPr>
      <w:rPr>
        <w:rFonts w:ascii="Courier New" w:hAnsi="Courier New" w:cs="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cs="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cs="Courier New"/>
      </w:rPr>
    </w:lvl>
    <w:lvl w:ilvl="8">
      <w:numFmt w:val="bullet"/>
      <w:lvlText w:val=""/>
      <w:lvlJc w:val="left"/>
      <w:pPr>
        <w:ind w:left="6555" w:hanging="360"/>
      </w:pPr>
      <w:rPr>
        <w:rFonts w:ascii="Wingdings" w:hAnsi="Wingdings"/>
      </w:rPr>
    </w:lvl>
  </w:abstractNum>
  <w:abstractNum w:abstractNumId="23">
    <w:nsid w:val="63092E79"/>
    <w:multiLevelType w:val="multilevel"/>
    <w:tmpl w:val="34807974"/>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nsid w:val="701827F3"/>
    <w:multiLevelType w:val="multilevel"/>
    <w:tmpl w:val="953467B6"/>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703C03DB"/>
    <w:multiLevelType w:val="multilevel"/>
    <w:tmpl w:val="3CFE56E0"/>
    <w:styleLink w:val="WWNum9"/>
    <w:lvl w:ilvl="0">
      <w:numFmt w:val="bullet"/>
      <w:lvlText w:val=""/>
      <w:lvlJc w:val="left"/>
      <w:rPr>
        <w:rFonts w:ascii="Symbol" w:hAnsi="Symbol"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nsid w:val="765C76CA"/>
    <w:multiLevelType w:val="multilevel"/>
    <w:tmpl w:val="E79A880E"/>
    <w:styleLink w:val="WWNum1"/>
    <w:lvl w:ilvl="0">
      <w:numFmt w:val="bullet"/>
      <w:lvlText w:val=""/>
      <w:lvlJc w:val="left"/>
      <w:rPr>
        <w:rFonts w:ascii="Symbol" w:hAnsi="Symbol"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nsid w:val="77B52710"/>
    <w:multiLevelType w:val="multilevel"/>
    <w:tmpl w:val="860E41DE"/>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8">
    <w:nsid w:val="7AB967DF"/>
    <w:multiLevelType w:val="multilevel"/>
    <w:tmpl w:val="6AC80DA0"/>
    <w:styleLink w:val="WWNum17"/>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nsid w:val="7AE33687"/>
    <w:multiLevelType w:val="multilevel"/>
    <w:tmpl w:val="3976D390"/>
    <w:styleLink w:val="WWNum1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nsid w:val="7AEB549A"/>
    <w:multiLevelType w:val="multilevel"/>
    <w:tmpl w:val="C9B01D0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7D491F56"/>
    <w:multiLevelType w:val="multilevel"/>
    <w:tmpl w:val="C4F0C4E6"/>
    <w:styleLink w:val="WWNum19"/>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nsid w:val="7F90123F"/>
    <w:multiLevelType w:val="multilevel"/>
    <w:tmpl w:val="527600E0"/>
    <w:styleLink w:val="WW8Num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4"/>
  </w:num>
  <w:num w:numId="2">
    <w:abstractNumId w:val="1"/>
  </w:num>
  <w:num w:numId="3">
    <w:abstractNumId w:val="6"/>
  </w:num>
  <w:num w:numId="4">
    <w:abstractNumId w:val="18"/>
  </w:num>
  <w:num w:numId="5">
    <w:abstractNumId w:val="32"/>
  </w:num>
  <w:num w:numId="6">
    <w:abstractNumId w:val="0"/>
  </w:num>
  <w:num w:numId="7">
    <w:abstractNumId w:val="10"/>
  </w:num>
  <w:num w:numId="8">
    <w:abstractNumId w:val="8"/>
  </w:num>
  <w:num w:numId="9">
    <w:abstractNumId w:val="14"/>
  </w:num>
  <w:num w:numId="10">
    <w:abstractNumId w:val="13"/>
  </w:num>
  <w:num w:numId="11">
    <w:abstractNumId w:val="26"/>
  </w:num>
  <w:num w:numId="12">
    <w:abstractNumId w:val="2"/>
  </w:num>
  <w:num w:numId="13">
    <w:abstractNumId w:val="7"/>
  </w:num>
  <w:num w:numId="14">
    <w:abstractNumId w:val="19"/>
  </w:num>
  <w:num w:numId="15">
    <w:abstractNumId w:val="25"/>
  </w:num>
  <w:num w:numId="16">
    <w:abstractNumId w:val="12"/>
  </w:num>
  <w:num w:numId="17">
    <w:abstractNumId w:val="23"/>
  </w:num>
  <w:num w:numId="18">
    <w:abstractNumId w:val="21"/>
  </w:num>
  <w:num w:numId="19">
    <w:abstractNumId w:val="16"/>
  </w:num>
  <w:num w:numId="20">
    <w:abstractNumId w:val="5"/>
  </w:num>
  <w:num w:numId="21">
    <w:abstractNumId w:val="15"/>
  </w:num>
  <w:num w:numId="22">
    <w:abstractNumId w:val="28"/>
  </w:num>
  <w:num w:numId="23">
    <w:abstractNumId w:val="29"/>
  </w:num>
  <w:num w:numId="24">
    <w:abstractNumId w:val="31"/>
  </w:num>
  <w:num w:numId="25">
    <w:abstractNumId w:val="11"/>
  </w:num>
  <w:num w:numId="26">
    <w:abstractNumId w:val="3"/>
  </w:num>
  <w:num w:numId="27">
    <w:abstractNumId w:val="4"/>
  </w:num>
  <w:num w:numId="28">
    <w:abstractNumId w:val="20"/>
  </w:num>
  <w:num w:numId="29">
    <w:abstractNumId w:val="27"/>
  </w:num>
  <w:num w:numId="30">
    <w:abstractNumId w:val="9"/>
  </w:num>
  <w:num w:numId="31">
    <w:abstractNumId w:val="30"/>
  </w:num>
  <w:num w:numId="32">
    <w:abstractNumId w:val="22"/>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0344B"/>
    <w:rsid w:val="0080344B"/>
    <w:rsid w:val="00A05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hr-HR" w:eastAsia="zh-CN" w:bidi="hi-IN"/>
      </w:rPr>
    </w:rPrDefault>
    <w:pPrDefault>
      <w:pPr>
        <w:widowControl w:val="0"/>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pPr>
      <w:suppressAutoHyphens/>
    </w:pPr>
  </w:style>
  <w:style w:type="paragraph" w:styleId="Zaglavlje">
    <w:name w:val="header"/>
    <w:basedOn w:val="Normal"/>
    <w:next w:val="Textbody"/>
    <w:pPr>
      <w:tabs>
        <w:tab w:val="center" w:pos="4536"/>
        <w:tab w:val="right" w:pos="9072"/>
      </w:tabs>
      <w:spacing w:after="0" w:line="240" w:lineRule="auto"/>
    </w:pPr>
    <w:rPr>
      <w:szCs w:val="21"/>
    </w:rPr>
  </w:style>
  <w:style w:type="paragraph" w:customStyle="1" w:styleId="Textbody">
    <w:name w:val="Text body"/>
    <w:basedOn w:val="Standard"/>
    <w:pPr>
      <w:spacing w:after="120"/>
    </w:pPr>
  </w:style>
  <w:style w:type="paragraph" w:styleId="Popis">
    <w:name w:val="List"/>
    <w:basedOn w:val="Textbody"/>
    <w:rPr>
      <w:rFonts w:cs="Tahoma"/>
    </w:rPr>
  </w:style>
  <w:style w:type="paragraph" w:styleId="Opisslike">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styleId="Bezproreda">
    <w:name w:val="No Spacing"/>
    <w:pPr>
      <w:widowControl/>
      <w:suppressAutoHyphens/>
    </w:pPr>
    <w:rPr>
      <w:rFonts w:ascii="Calibri" w:eastAsia="Calibri" w:hAnsi="Calibri" w:cs="Calibri"/>
      <w:sz w:val="22"/>
      <w:szCs w:val="22"/>
      <w:lang w:bidi="ar-S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Odlomakpopisa1">
    <w:name w:val="Odlomak popisa1"/>
    <w:basedOn w:val="Standard"/>
    <w:pPr>
      <w:ind w:left="720"/>
    </w:pPr>
    <w:rPr>
      <w:rFonts w:ascii="Calibri" w:eastAsia="Times New Roman" w:hAnsi="Calibri" w:cs="Calibri"/>
    </w:rPr>
  </w:style>
  <w:style w:type="paragraph" w:styleId="Odlomakpopisa">
    <w:name w:val="List Paragraph"/>
    <w:basedOn w:val="Standard"/>
    <w:pPr>
      <w:ind w:left="720"/>
    </w:pPr>
  </w:style>
  <w:style w:type="character" w:customStyle="1" w:styleId="WW8Num2z0">
    <w:name w:val="WW8Num2z0"/>
    <w:rPr>
      <w:b/>
    </w:rPr>
  </w:style>
  <w:style w:type="character" w:customStyle="1" w:styleId="WW8Num5z0">
    <w:name w:val="WW8Num5z0"/>
    <w:rPr>
      <w:b/>
    </w:rPr>
  </w:style>
  <w:style w:type="character" w:customStyle="1" w:styleId="WW8Num8z0">
    <w:name w:val="WW8Num8z0"/>
    <w:rPr>
      <w:b/>
    </w:rPr>
  </w:style>
  <w:style w:type="character" w:customStyle="1" w:styleId="WW8Num7z0">
    <w:name w:val="WW8Num7z0"/>
    <w:rPr>
      <w:b/>
    </w:rPr>
  </w:style>
  <w:style w:type="character" w:customStyle="1" w:styleId="Internetlink">
    <w:name w:val="Internet link"/>
    <w:rPr>
      <w:color w:val="0000FF"/>
      <w:u w:val="single"/>
    </w:rPr>
  </w:style>
  <w:style w:type="character" w:customStyle="1" w:styleId="ListLabel2">
    <w:name w:val="ListLabel 2"/>
    <w:rPr>
      <w:rFonts w:cs="Courier New"/>
    </w:rPr>
  </w:style>
  <w:style w:type="character" w:customStyle="1" w:styleId="ListLabel1">
    <w:name w:val="ListLabel 1"/>
    <w:rPr>
      <w:rFonts w:cs="Calibri"/>
    </w:rPr>
  </w:style>
  <w:style w:type="character" w:customStyle="1" w:styleId="ListLabel5">
    <w:name w:val="ListLabel 5"/>
    <w:rPr>
      <w:rFonts w:eastAsia="Times New Roman" w:cs="Times New Roman"/>
    </w:rPr>
  </w:style>
  <w:style w:type="character" w:customStyle="1" w:styleId="ListLabel4">
    <w:name w:val="ListLabel 4"/>
    <w:rPr>
      <w:rFonts w:cs="Tahoma"/>
      <w:sz w:val="24"/>
      <w:szCs w:val="24"/>
    </w:rPr>
  </w:style>
  <w:style w:type="character" w:customStyle="1" w:styleId="ListLabel3">
    <w:name w:val="ListLabel 3"/>
    <w:rPr>
      <w:rFonts w:eastAsia="Times New Roman"/>
    </w:rPr>
  </w:style>
  <w:style w:type="paragraph" w:styleId="Tekstbalonia">
    <w:name w:val="Balloon Text"/>
    <w:basedOn w:val="Normal"/>
    <w:pPr>
      <w:spacing w:after="0" w:line="240" w:lineRule="auto"/>
    </w:pPr>
    <w:rPr>
      <w:rFonts w:ascii="Tahoma" w:hAnsi="Tahoma"/>
      <w:sz w:val="16"/>
      <w:szCs w:val="14"/>
    </w:rPr>
  </w:style>
  <w:style w:type="character" w:customStyle="1" w:styleId="TekstbaloniaChar">
    <w:name w:val="Tekst balončića Char"/>
    <w:basedOn w:val="Zadanifontodlomka"/>
    <w:rPr>
      <w:rFonts w:ascii="Tahoma" w:hAnsi="Tahoma"/>
      <w:sz w:val="16"/>
      <w:szCs w:val="14"/>
    </w:rPr>
  </w:style>
  <w:style w:type="paragraph" w:styleId="Podnoje">
    <w:name w:val="footer"/>
    <w:basedOn w:val="Normal"/>
    <w:pPr>
      <w:tabs>
        <w:tab w:val="center" w:pos="4536"/>
        <w:tab w:val="right" w:pos="9072"/>
      </w:tabs>
      <w:spacing w:after="0" w:line="240" w:lineRule="auto"/>
    </w:pPr>
    <w:rPr>
      <w:szCs w:val="21"/>
    </w:rPr>
  </w:style>
  <w:style w:type="character" w:customStyle="1" w:styleId="PodnojeChar">
    <w:name w:val="Podnožje Char"/>
    <w:basedOn w:val="Zadanifontodlomka"/>
    <w:rPr>
      <w:szCs w:val="21"/>
    </w:rPr>
  </w:style>
  <w:style w:type="character" w:customStyle="1" w:styleId="ZaglavljeChar">
    <w:name w:val="Zaglavlje Char"/>
    <w:basedOn w:val="Zadanifontodlomka"/>
    <w:rPr>
      <w:rFonts w:ascii="Arial" w:eastAsia="Andale Sans UI" w:hAnsi="Arial" w:cs="Tahoma"/>
      <w:sz w:val="28"/>
      <w:szCs w:val="28"/>
    </w:rPr>
  </w:style>
  <w:style w:type="paragraph" w:styleId="Tijeloteksta3">
    <w:name w:val="Body Text 3"/>
    <w:basedOn w:val="Normal"/>
    <w:pPr>
      <w:widowControl/>
      <w:suppressAutoHyphens w:val="0"/>
      <w:spacing w:after="120" w:line="240" w:lineRule="auto"/>
      <w:textAlignment w:val="auto"/>
    </w:pPr>
    <w:rPr>
      <w:rFonts w:eastAsia="Times New Roman" w:cs="Times New Roman"/>
      <w:kern w:val="0"/>
      <w:sz w:val="16"/>
      <w:szCs w:val="16"/>
      <w:lang w:eastAsia="hr-HR" w:bidi="ar-SA"/>
    </w:rPr>
  </w:style>
  <w:style w:type="character" w:customStyle="1" w:styleId="Tijeloteksta3Char">
    <w:name w:val="Tijelo teksta 3 Char"/>
    <w:basedOn w:val="Zadanifontodlomka"/>
    <w:rPr>
      <w:rFonts w:eastAsia="Times New Roman" w:cs="Times New Roman"/>
      <w:kern w:val="0"/>
      <w:sz w:val="16"/>
      <w:szCs w:val="16"/>
      <w:lang w:eastAsia="hr-HR" w:bidi="ar-SA"/>
    </w:rPr>
  </w:style>
  <w:style w:type="character" w:customStyle="1" w:styleId="HeaderChar">
    <w:name w:val="Header Char"/>
    <w:basedOn w:val="Zadanifontodlomka"/>
    <w:rPr>
      <w:szCs w:val="21"/>
    </w:rPr>
  </w:style>
  <w:style w:type="character" w:customStyle="1" w:styleId="FooterChar">
    <w:name w:val="Footer Char"/>
    <w:basedOn w:val="Zadanifontodlomka"/>
    <w:rPr>
      <w:szCs w:val="21"/>
    </w:rPr>
  </w:style>
  <w:style w:type="numbering" w:customStyle="1" w:styleId="WW8Num1">
    <w:name w:val="WW8Num1"/>
    <w:basedOn w:val="Bezpopisa"/>
    <w:pPr>
      <w:numPr>
        <w:numId w:val="1"/>
      </w:numPr>
    </w:pPr>
  </w:style>
  <w:style w:type="numbering" w:customStyle="1" w:styleId="WW8Num2">
    <w:name w:val="WW8Num2"/>
    <w:basedOn w:val="Bezpopisa"/>
    <w:pPr>
      <w:numPr>
        <w:numId w:val="2"/>
      </w:numPr>
    </w:pPr>
  </w:style>
  <w:style w:type="numbering" w:customStyle="1" w:styleId="WW8Num3">
    <w:name w:val="WW8Num3"/>
    <w:basedOn w:val="Bezpopisa"/>
    <w:pPr>
      <w:numPr>
        <w:numId w:val="3"/>
      </w:numPr>
    </w:pPr>
  </w:style>
  <w:style w:type="numbering" w:customStyle="1" w:styleId="WW8Num4">
    <w:name w:val="WW8Num4"/>
    <w:basedOn w:val="Bezpopisa"/>
    <w:pPr>
      <w:numPr>
        <w:numId w:val="4"/>
      </w:numPr>
    </w:pPr>
  </w:style>
  <w:style w:type="numbering" w:customStyle="1" w:styleId="WW8Num5">
    <w:name w:val="WW8Num5"/>
    <w:basedOn w:val="Bezpopisa"/>
    <w:pPr>
      <w:numPr>
        <w:numId w:val="5"/>
      </w:numPr>
    </w:pPr>
  </w:style>
  <w:style w:type="numbering" w:customStyle="1" w:styleId="WWNum5">
    <w:name w:val="WWNum5"/>
    <w:basedOn w:val="Bezpopisa"/>
    <w:pPr>
      <w:numPr>
        <w:numId w:val="6"/>
      </w:numPr>
    </w:pPr>
  </w:style>
  <w:style w:type="numbering" w:customStyle="1" w:styleId="WWNum7">
    <w:name w:val="WWNum7"/>
    <w:basedOn w:val="Bezpopisa"/>
    <w:pPr>
      <w:numPr>
        <w:numId w:val="7"/>
      </w:numPr>
    </w:pPr>
  </w:style>
  <w:style w:type="numbering" w:customStyle="1" w:styleId="WWNum3">
    <w:name w:val="WWNum3"/>
    <w:basedOn w:val="Bezpopisa"/>
    <w:pPr>
      <w:numPr>
        <w:numId w:val="8"/>
      </w:numPr>
    </w:pPr>
  </w:style>
  <w:style w:type="numbering" w:customStyle="1" w:styleId="WWNum10">
    <w:name w:val="WWNum10"/>
    <w:basedOn w:val="Bezpopisa"/>
    <w:pPr>
      <w:numPr>
        <w:numId w:val="9"/>
      </w:numPr>
    </w:pPr>
  </w:style>
  <w:style w:type="numbering" w:customStyle="1" w:styleId="WWNum2">
    <w:name w:val="WWNum2"/>
    <w:basedOn w:val="Bezpopisa"/>
    <w:pPr>
      <w:numPr>
        <w:numId w:val="10"/>
      </w:numPr>
    </w:pPr>
  </w:style>
  <w:style w:type="numbering" w:customStyle="1" w:styleId="WWNum1">
    <w:name w:val="WWNum1"/>
    <w:basedOn w:val="Bezpopisa"/>
    <w:pPr>
      <w:numPr>
        <w:numId w:val="11"/>
      </w:numPr>
    </w:pPr>
  </w:style>
  <w:style w:type="numbering" w:customStyle="1" w:styleId="WWNum4">
    <w:name w:val="WWNum4"/>
    <w:basedOn w:val="Bezpopisa"/>
    <w:pPr>
      <w:numPr>
        <w:numId w:val="12"/>
      </w:numPr>
    </w:pPr>
  </w:style>
  <w:style w:type="numbering" w:customStyle="1" w:styleId="WWNum6">
    <w:name w:val="WWNum6"/>
    <w:basedOn w:val="Bezpopisa"/>
    <w:pPr>
      <w:numPr>
        <w:numId w:val="13"/>
      </w:numPr>
    </w:pPr>
  </w:style>
  <w:style w:type="numbering" w:customStyle="1" w:styleId="WWNum8">
    <w:name w:val="WWNum8"/>
    <w:basedOn w:val="Bezpopisa"/>
    <w:pPr>
      <w:numPr>
        <w:numId w:val="14"/>
      </w:numPr>
    </w:pPr>
  </w:style>
  <w:style w:type="numbering" w:customStyle="1" w:styleId="WWNum9">
    <w:name w:val="WWNum9"/>
    <w:basedOn w:val="Bezpopisa"/>
    <w:pPr>
      <w:numPr>
        <w:numId w:val="15"/>
      </w:numPr>
    </w:pPr>
  </w:style>
  <w:style w:type="numbering" w:customStyle="1" w:styleId="WWNum11">
    <w:name w:val="WWNum11"/>
    <w:basedOn w:val="Bezpopisa"/>
    <w:pPr>
      <w:numPr>
        <w:numId w:val="16"/>
      </w:numPr>
    </w:pPr>
  </w:style>
  <w:style w:type="numbering" w:customStyle="1" w:styleId="WWNum12">
    <w:name w:val="WWNum12"/>
    <w:basedOn w:val="Bezpopisa"/>
    <w:pPr>
      <w:numPr>
        <w:numId w:val="17"/>
      </w:numPr>
    </w:pPr>
  </w:style>
  <w:style w:type="numbering" w:customStyle="1" w:styleId="WWNum13">
    <w:name w:val="WWNum13"/>
    <w:basedOn w:val="Bezpopisa"/>
    <w:pPr>
      <w:numPr>
        <w:numId w:val="18"/>
      </w:numPr>
    </w:pPr>
  </w:style>
  <w:style w:type="numbering" w:customStyle="1" w:styleId="WWNum14">
    <w:name w:val="WWNum14"/>
    <w:basedOn w:val="Bezpopisa"/>
    <w:pPr>
      <w:numPr>
        <w:numId w:val="19"/>
      </w:numPr>
    </w:pPr>
  </w:style>
  <w:style w:type="numbering" w:customStyle="1" w:styleId="WWNum15">
    <w:name w:val="WWNum15"/>
    <w:basedOn w:val="Bezpopisa"/>
    <w:pPr>
      <w:numPr>
        <w:numId w:val="20"/>
      </w:numPr>
    </w:pPr>
  </w:style>
  <w:style w:type="numbering" w:customStyle="1" w:styleId="WWNum16">
    <w:name w:val="WWNum16"/>
    <w:basedOn w:val="Bezpopisa"/>
    <w:pPr>
      <w:numPr>
        <w:numId w:val="21"/>
      </w:numPr>
    </w:pPr>
  </w:style>
  <w:style w:type="numbering" w:customStyle="1" w:styleId="WWNum17">
    <w:name w:val="WWNum17"/>
    <w:basedOn w:val="Bezpopisa"/>
    <w:pPr>
      <w:numPr>
        <w:numId w:val="22"/>
      </w:numPr>
    </w:pPr>
  </w:style>
  <w:style w:type="numbering" w:customStyle="1" w:styleId="WWNum18">
    <w:name w:val="WWNum18"/>
    <w:basedOn w:val="Bezpopisa"/>
    <w:pPr>
      <w:numPr>
        <w:numId w:val="23"/>
      </w:numPr>
    </w:pPr>
  </w:style>
  <w:style w:type="numbering" w:customStyle="1" w:styleId="WWNum19">
    <w:name w:val="WWNum19"/>
    <w:basedOn w:val="Bezpopisa"/>
    <w:pPr>
      <w:numPr>
        <w:numId w:val="24"/>
      </w:numPr>
    </w:pPr>
  </w:style>
  <w:style w:type="numbering" w:customStyle="1" w:styleId="WWNum20">
    <w:name w:val="WWNum20"/>
    <w:basedOn w:val="Bezpopisa"/>
    <w:pPr>
      <w:numPr>
        <w:numId w:val="2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hr-HR" w:eastAsia="zh-CN" w:bidi="hi-IN"/>
      </w:rPr>
    </w:rPrDefault>
    <w:pPrDefault>
      <w:pPr>
        <w:widowControl w:val="0"/>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pPr>
      <w:suppressAutoHyphens/>
    </w:pPr>
  </w:style>
  <w:style w:type="paragraph" w:styleId="Zaglavlje">
    <w:name w:val="header"/>
    <w:basedOn w:val="Normal"/>
    <w:next w:val="Textbody"/>
    <w:pPr>
      <w:tabs>
        <w:tab w:val="center" w:pos="4536"/>
        <w:tab w:val="right" w:pos="9072"/>
      </w:tabs>
      <w:spacing w:after="0" w:line="240" w:lineRule="auto"/>
    </w:pPr>
    <w:rPr>
      <w:szCs w:val="21"/>
    </w:rPr>
  </w:style>
  <w:style w:type="paragraph" w:customStyle="1" w:styleId="Textbody">
    <w:name w:val="Text body"/>
    <w:basedOn w:val="Standard"/>
    <w:pPr>
      <w:spacing w:after="120"/>
    </w:pPr>
  </w:style>
  <w:style w:type="paragraph" w:styleId="Popis">
    <w:name w:val="List"/>
    <w:basedOn w:val="Textbody"/>
    <w:rPr>
      <w:rFonts w:cs="Tahoma"/>
    </w:rPr>
  </w:style>
  <w:style w:type="paragraph" w:styleId="Opisslike">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styleId="Bezproreda">
    <w:name w:val="No Spacing"/>
    <w:pPr>
      <w:widowControl/>
      <w:suppressAutoHyphens/>
    </w:pPr>
    <w:rPr>
      <w:rFonts w:ascii="Calibri" w:eastAsia="Calibri" w:hAnsi="Calibri" w:cs="Calibri"/>
      <w:sz w:val="22"/>
      <w:szCs w:val="22"/>
      <w:lang w:bidi="ar-S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Odlomakpopisa1">
    <w:name w:val="Odlomak popisa1"/>
    <w:basedOn w:val="Standard"/>
    <w:pPr>
      <w:ind w:left="720"/>
    </w:pPr>
    <w:rPr>
      <w:rFonts w:ascii="Calibri" w:eastAsia="Times New Roman" w:hAnsi="Calibri" w:cs="Calibri"/>
    </w:rPr>
  </w:style>
  <w:style w:type="paragraph" w:styleId="Odlomakpopisa">
    <w:name w:val="List Paragraph"/>
    <w:basedOn w:val="Standard"/>
    <w:pPr>
      <w:ind w:left="720"/>
    </w:pPr>
  </w:style>
  <w:style w:type="character" w:customStyle="1" w:styleId="WW8Num2z0">
    <w:name w:val="WW8Num2z0"/>
    <w:rPr>
      <w:b/>
    </w:rPr>
  </w:style>
  <w:style w:type="character" w:customStyle="1" w:styleId="WW8Num5z0">
    <w:name w:val="WW8Num5z0"/>
    <w:rPr>
      <w:b/>
    </w:rPr>
  </w:style>
  <w:style w:type="character" w:customStyle="1" w:styleId="WW8Num8z0">
    <w:name w:val="WW8Num8z0"/>
    <w:rPr>
      <w:b/>
    </w:rPr>
  </w:style>
  <w:style w:type="character" w:customStyle="1" w:styleId="WW8Num7z0">
    <w:name w:val="WW8Num7z0"/>
    <w:rPr>
      <w:b/>
    </w:rPr>
  </w:style>
  <w:style w:type="character" w:customStyle="1" w:styleId="Internetlink">
    <w:name w:val="Internet link"/>
    <w:rPr>
      <w:color w:val="0000FF"/>
      <w:u w:val="single"/>
    </w:rPr>
  </w:style>
  <w:style w:type="character" w:customStyle="1" w:styleId="ListLabel2">
    <w:name w:val="ListLabel 2"/>
    <w:rPr>
      <w:rFonts w:cs="Courier New"/>
    </w:rPr>
  </w:style>
  <w:style w:type="character" w:customStyle="1" w:styleId="ListLabel1">
    <w:name w:val="ListLabel 1"/>
    <w:rPr>
      <w:rFonts w:cs="Calibri"/>
    </w:rPr>
  </w:style>
  <w:style w:type="character" w:customStyle="1" w:styleId="ListLabel5">
    <w:name w:val="ListLabel 5"/>
    <w:rPr>
      <w:rFonts w:eastAsia="Times New Roman" w:cs="Times New Roman"/>
    </w:rPr>
  </w:style>
  <w:style w:type="character" w:customStyle="1" w:styleId="ListLabel4">
    <w:name w:val="ListLabel 4"/>
    <w:rPr>
      <w:rFonts w:cs="Tahoma"/>
      <w:sz w:val="24"/>
      <w:szCs w:val="24"/>
    </w:rPr>
  </w:style>
  <w:style w:type="character" w:customStyle="1" w:styleId="ListLabel3">
    <w:name w:val="ListLabel 3"/>
    <w:rPr>
      <w:rFonts w:eastAsia="Times New Roman"/>
    </w:rPr>
  </w:style>
  <w:style w:type="paragraph" w:styleId="Tekstbalonia">
    <w:name w:val="Balloon Text"/>
    <w:basedOn w:val="Normal"/>
    <w:pPr>
      <w:spacing w:after="0" w:line="240" w:lineRule="auto"/>
    </w:pPr>
    <w:rPr>
      <w:rFonts w:ascii="Tahoma" w:hAnsi="Tahoma"/>
      <w:sz w:val="16"/>
      <w:szCs w:val="14"/>
    </w:rPr>
  </w:style>
  <w:style w:type="character" w:customStyle="1" w:styleId="TekstbaloniaChar">
    <w:name w:val="Tekst balončića Char"/>
    <w:basedOn w:val="Zadanifontodlomka"/>
    <w:rPr>
      <w:rFonts w:ascii="Tahoma" w:hAnsi="Tahoma"/>
      <w:sz w:val="16"/>
      <w:szCs w:val="14"/>
    </w:rPr>
  </w:style>
  <w:style w:type="paragraph" w:styleId="Podnoje">
    <w:name w:val="footer"/>
    <w:basedOn w:val="Normal"/>
    <w:pPr>
      <w:tabs>
        <w:tab w:val="center" w:pos="4536"/>
        <w:tab w:val="right" w:pos="9072"/>
      </w:tabs>
      <w:spacing w:after="0" w:line="240" w:lineRule="auto"/>
    </w:pPr>
    <w:rPr>
      <w:szCs w:val="21"/>
    </w:rPr>
  </w:style>
  <w:style w:type="character" w:customStyle="1" w:styleId="PodnojeChar">
    <w:name w:val="Podnožje Char"/>
    <w:basedOn w:val="Zadanifontodlomka"/>
    <w:rPr>
      <w:szCs w:val="21"/>
    </w:rPr>
  </w:style>
  <w:style w:type="character" w:customStyle="1" w:styleId="ZaglavljeChar">
    <w:name w:val="Zaglavlje Char"/>
    <w:basedOn w:val="Zadanifontodlomka"/>
    <w:rPr>
      <w:rFonts w:ascii="Arial" w:eastAsia="Andale Sans UI" w:hAnsi="Arial" w:cs="Tahoma"/>
      <w:sz w:val="28"/>
      <w:szCs w:val="28"/>
    </w:rPr>
  </w:style>
  <w:style w:type="paragraph" w:styleId="Tijeloteksta3">
    <w:name w:val="Body Text 3"/>
    <w:basedOn w:val="Normal"/>
    <w:pPr>
      <w:widowControl/>
      <w:suppressAutoHyphens w:val="0"/>
      <w:spacing w:after="120" w:line="240" w:lineRule="auto"/>
      <w:textAlignment w:val="auto"/>
    </w:pPr>
    <w:rPr>
      <w:rFonts w:eastAsia="Times New Roman" w:cs="Times New Roman"/>
      <w:kern w:val="0"/>
      <w:sz w:val="16"/>
      <w:szCs w:val="16"/>
      <w:lang w:eastAsia="hr-HR" w:bidi="ar-SA"/>
    </w:rPr>
  </w:style>
  <w:style w:type="character" w:customStyle="1" w:styleId="Tijeloteksta3Char">
    <w:name w:val="Tijelo teksta 3 Char"/>
    <w:basedOn w:val="Zadanifontodlomka"/>
    <w:rPr>
      <w:rFonts w:eastAsia="Times New Roman" w:cs="Times New Roman"/>
      <w:kern w:val="0"/>
      <w:sz w:val="16"/>
      <w:szCs w:val="16"/>
      <w:lang w:eastAsia="hr-HR" w:bidi="ar-SA"/>
    </w:rPr>
  </w:style>
  <w:style w:type="character" w:customStyle="1" w:styleId="HeaderChar">
    <w:name w:val="Header Char"/>
    <w:basedOn w:val="Zadanifontodlomka"/>
    <w:rPr>
      <w:szCs w:val="21"/>
    </w:rPr>
  </w:style>
  <w:style w:type="character" w:customStyle="1" w:styleId="FooterChar">
    <w:name w:val="Footer Char"/>
    <w:basedOn w:val="Zadanifontodlomka"/>
    <w:rPr>
      <w:szCs w:val="21"/>
    </w:rPr>
  </w:style>
  <w:style w:type="numbering" w:customStyle="1" w:styleId="WW8Num1">
    <w:name w:val="WW8Num1"/>
    <w:basedOn w:val="Bezpopisa"/>
    <w:pPr>
      <w:numPr>
        <w:numId w:val="1"/>
      </w:numPr>
    </w:pPr>
  </w:style>
  <w:style w:type="numbering" w:customStyle="1" w:styleId="WW8Num2">
    <w:name w:val="WW8Num2"/>
    <w:basedOn w:val="Bezpopisa"/>
    <w:pPr>
      <w:numPr>
        <w:numId w:val="2"/>
      </w:numPr>
    </w:pPr>
  </w:style>
  <w:style w:type="numbering" w:customStyle="1" w:styleId="WW8Num3">
    <w:name w:val="WW8Num3"/>
    <w:basedOn w:val="Bezpopisa"/>
    <w:pPr>
      <w:numPr>
        <w:numId w:val="3"/>
      </w:numPr>
    </w:pPr>
  </w:style>
  <w:style w:type="numbering" w:customStyle="1" w:styleId="WW8Num4">
    <w:name w:val="WW8Num4"/>
    <w:basedOn w:val="Bezpopisa"/>
    <w:pPr>
      <w:numPr>
        <w:numId w:val="4"/>
      </w:numPr>
    </w:pPr>
  </w:style>
  <w:style w:type="numbering" w:customStyle="1" w:styleId="WW8Num5">
    <w:name w:val="WW8Num5"/>
    <w:basedOn w:val="Bezpopisa"/>
    <w:pPr>
      <w:numPr>
        <w:numId w:val="5"/>
      </w:numPr>
    </w:pPr>
  </w:style>
  <w:style w:type="numbering" w:customStyle="1" w:styleId="WWNum5">
    <w:name w:val="WWNum5"/>
    <w:basedOn w:val="Bezpopisa"/>
    <w:pPr>
      <w:numPr>
        <w:numId w:val="6"/>
      </w:numPr>
    </w:pPr>
  </w:style>
  <w:style w:type="numbering" w:customStyle="1" w:styleId="WWNum7">
    <w:name w:val="WWNum7"/>
    <w:basedOn w:val="Bezpopisa"/>
    <w:pPr>
      <w:numPr>
        <w:numId w:val="7"/>
      </w:numPr>
    </w:pPr>
  </w:style>
  <w:style w:type="numbering" w:customStyle="1" w:styleId="WWNum3">
    <w:name w:val="WWNum3"/>
    <w:basedOn w:val="Bezpopisa"/>
    <w:pPr>
      <w:numPr>
        <w:numId w:val="8"/>
      </w:numPr>
    </w:pPr>
  </w:style>
  <w:style w:type="numbering" w:customStyle="1" w:styleId="WWNum10">
    <w:name w:val="WWNum10"/>
    <w:basedOn w:val="Bezpopisa"/>
    <w:pPr>
      <w:numPr>
        <w:numId w:val="9"/>
      </w:numPr>
    </w:pPr>
  </w:style>
  <w:style w:type="numbering" w:customStyle="1" w:styleId="WWNum2">
    <w:name w:val="WWNum2"/>
    <w:basedOn w:val="Bezpopisa"/>
    <w:pPr>
      <w:numPr>
        <w:numId w:val="10"/>
      </w:numPr>
    </w:pPr>
  </w:style>
  <w:style w:type="numbering" w:customStyle="1" w:styleId="WWNum1">
    <w:name w:val="WWNum1"/>
    <w:basedOn w:val="Bezpopisa"/>
    <w:pPr>
      <w:numPr>
        <w:numId w:val="11"/>
      </w:numPr>
    </w:pPr>
  </w:style>
  <w:style w:type="numbering" w:customStyle="1" w:styleId="WWNum4">
    <w:name w:val="WWNum4"/>
    <w:basedOn w:val="Bezpopisa"/>
    <w:pPr>
      <w:numPr>
        <w:numId w:val="12"/>
      </w:numPr>
    </w:pPr>
  </w:style>
  <w:style w:type="numbering" w:customStyle="1" w:styleId="WWNum6">
    <w:name w:val="WWNum6"/>
    <w:basedOn w:val="Bezpopisa"/>
    <w:pPr>
      <w:numPr>
        <w:numId w:val="13"/>
      </w:numPr>
    </w:pPr>
  </w:style>
  <w:style w:type="numbering" w:customStyle="1" w:styleId="WWNum8">
    <w:name w:val="WWNum8"/>
    <w:basedOn w:val="Bezpopisa"/>
    <w:pPr>
      <w:numPr>
        <w:numId w:val="14"/>
      </w:numPr>
    </w:pPr>
  </w:style>
  <w:style w:type="numbering" w:customStyle="1" w:styleId="WWNum9">
    <w:name w:val="WWNum9"/>
    <w:basedOn w:val="Bezpopisa"/>
    <w:pPr>
      <w:numPr>
        <w:numId w:val="15"/>
      </w:numPr>
    </w:pPr>
  </w:style>
  <w:style w:type="numbering" w:customStyle="1" w:styleId="WWNum11">
    <w:name w:val="WWNum11"/>
    <w:basedOn w:val="Bezpopisa"/>
    <w:pPr>
      <w:numPr>
        <w:numId w:val="16"/>
      </w:numPr>
    </w:pPr>
  </w:style>
  <w:style w:type="numbering" w:customStyle="1" w:styleId="WWNum12">
    <w:name w:val="WWNum12"/>
    <w:basedOn w:val="Bezpopisa"/>
    <w:pPr>
      <w:numPr>
        <w:numId w:val="17"/>
      </w:numPr>
    </w:pPr>
  </w:style>
  <w:style w:type="numbering" w:customStyle="1" w:styleId="WWNum13">
    <w:name w:val="WWNum13"/>
    <w:basedOn w:val="Bezpopisa"/>
    <w:pPr>
      <w:numPr>
        <w:numId w:val="18"/>
      </w:numPr>
    </w:pPr>
  </w:style>
  <w:style w:type="numbering" w:customStyle="1" w:styleId="WWNum14">
    <w:name w:val="WWNum14"/>
    <w:basedOn w:val="Bezpopisa"/>
    <w:pPr>
      <w:numPr>
        <w:numId w:val="19"/>
      </w:numPr>
    </w:pPr>
  </w:style>
  <w:style w:type="numbering" w:customStyle="1" w:styleId="WWNum15">
    <w:name w:val="WWNum15"/>
    <w:basedOn w:val="Bezpopisa"/>
    <w:pPr>
      <w:numPr>
        <w:numId w:val="20"/>
      </w:numPr>
    </w:pPr>
  </w:style>
  <w:style w:type="numbering" w:customStyle="1" w:styleId="WWNum16">
    <w:name w:val="WWNum16"/>
    <w:basedOn w:val="Bezpopisa"/>
    <w:pPr>
      <w:numPr>
        <w:numId w:val="21"/>
      </w:numPr>
    </w:pPr>
  </w:style>
  <w:style w:type="numbering" w:customStyle="1" w:styleId="WWNum17">
    <w:name w:val="WWNum17"/>
    <w:basedOn w:val="Bezpopisa"/>
    <w:pPr>
      <w:numPr>
        <w:numId w:val="22"/>
      </w:numPr>
    </w:pPr>
  </w:style>
  <w:style w:type="numbering" w:customStyle="1" w:styleId="WWNum18">
    <w:name w:val="WWNum18"/>
    <w:basedOn w:val="Bezpopisa"/>
    <w:pPr>
      <w:numPr>
        <w:numId w:val="23"/>
      </w:numPr>
    </w:pPr>
  </w:style>
  <w:style w:type="numbering" w:customStyle="1" w:styleId="WWNum19">
    <w:name w:val="WWNum19"/>
    <w:basedOn w:val="Bezpopisa"/>
    <w:pPr>
      <w:numPr>
        <w:numId w:val="24"/>
      </w:numPr>
    </w:pPr>
  </w:style>
  <w:style w:type="numbering" w:customStyle="1" w:styleId="WWNum20">
    <w:name w:val="WWNum20"/>
    <w:basedOn w:val="Bezpopisa"/>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1565</Words>
  <Characters>8926</Characters>
  <Application>Microsoft Office Word</Application>
  <DocSecurity>4</DocSecurity>
  <Lines>74</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Sanja Lakošeljac</cp:lastModifiedBy>
  <cp:revision>2</cp:revision>
  <cp:lastPrinted>2016-09-27T13:36:00Z</cp:lastPrinted>
  <dcterms:created xsi:type="dcterms:W3CDTF">2016-09-28T06:34:00Z</dcterms:created>
  <dcterms:modified xsi:type="dcterms:W3CDTF">2016-09-28T06:34:00Z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